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68C828">
      <w:pPr>
        <w:spacing w:line="360" w:lineRule="auto"/>
        <w:jc w:val="left"/>
        <w:rPr>
          <w:rFonts w:hint="default" w:ascii="Arial" w:hAnsi="Arial" w:eastAsia="微软雅黑" w:cs="Arial"/>
          <w:b/>
          <w:color w:val="404040" w:themeColor="text1" w:themeTint="BF"/>
          <w:sz w:val="28"/>
          <w:szCs w:val="28"/>
          <w:lang w:val="en-US" w:eastAsia="zh-CN"/>
          <w14:textFill>
            <w14:solidFill>
              <w14:schemeClr w14:val="tx1">
                <w14:lumMod w14:val="75000"/>
                <w14:lumOff w14:val="25000"/>
              </w14:schemeClr>
            </w14:solidFill>
          </w14:textFill>
        </w:rPr>
      </w:pPr>
      <w:r>
        <w:rPr>
          <w:rFonts w:hint="default" w:ascii="Arial" w:hAnsi="Arial" w:eastAsia="微软雅黑" w:cs="Arial"/>
          <w:b/>
          <w:color w:val="404040" w:themeColor="text1" w:themeTint="BF"/>
          <w:sz w:val="28"/>
          <w:szCs w:val="28"/>
          <w:lang w:val="en-US" w:eastAsia="zh-CN"/>
          <w14:textFill>
            <w14:solidFill>
              <w14:schemeClr w14:val="tx1">
                <w14:lumMod w14:val="75000"/>
                <w14:lumOff w14:val="25000"/>
              </w14:schemeClr>
            </w14:solidFill>
          </w14:textFill>
        </w:rPr>
        <w:t>Product Datasheet</w:t>
      </w:r>
    </w:p>
    <w:p w14:paraId="050505F5">
      <w:pPr>
        <w:spacing w:line="360" w:lineRule="auto"/>
        <w:jc w:val="left"/>
        <w:rPr>
          <w:rFonts w:hint="eastAsia" w:ascii="Arial" w:hAnsi="Arial" w:eastAsia="宋体" w:cs="Arial"/>
          <w:b/>
          <w:bCs/>
          <w:color w:val="0070C0"/>
          <w:sz w:val="44"/>
          <w:szCs w:val="44"/>
          <w:lang w:val="en-US" w:eastAsia="zh-CN"/>
        </w:rPr>
      </w:pPr>
      <w:r>
        <w:rPr>
          <w:rFonts w:hint="eastAsia" w:ascii="Arial" w:hAnsi="Arial" w:eastAsia="宋体" w:cs="Arial"/>
          <w:b/>
          <w:bCs/>
          <w:color w:val="0070C0"/>
          <w:sz w:val="44"/>
          <w:szCs w:val="44"/>
          <w:lang w:val="en-US" w:eastAsia="zh-CN"/>
        </w:rPr>
        <w:t>60W/12V DIN Rail Industrial Power Supply</w:t>
      </w:r>
    </w:p>
    <w:p w14:paraId="2E822134">
      <w:pPr>
        <w:spacing w:line="360" w:lineRule="auto"/>
        <w:jc w:val="left"/>
        <w:rPr>
          <w:rFonts w:hint="eastAsia" w:ascii="Arial" w:hAnsi="Arial" w:eastAsia="宋体" w:cs="Arial"/>
          <w:b/>
          <w:bCs/>
          <w:color w:val="0070C0"/>
          <w:sz w:val="24"/>
          <w:szCs w:val="24"/>
          <w:lang w:val="en-US" w:eastAsia="zh-CN"/>
        </w:rPr>
      </w:pPr>
      <w:r>
        <w:rPr>
          <w:rFonts w:hint="eastAsia" w:ascii="Arial" w:hAnsi="Arial" w:eastAsia="宋体" w:cs="Arial"/>
          <w:b/>
          <w:bCs/>
          <w:color w:val="0070C0"/>
          <w:sz w:val="24"/>
          <w:szCs w:val="24"/>
          <w:lang w:val="en-US" w:eastAsia="zh-CN"/>
        </w:rPr>
        <w:t>(D60-12)</w:t>
      </w:r>
    </w:p>
    <w:p w14:paraId="7BA86F36">
      <w:pPr>
        <w:jc w:val="center"/>
        <w:rPr>
          <w:rFonts w:hint="eastAsia" w:ascii="Arial" w:hAnsi="Arial" w:cs="Arial"/>
          <w:sz w:val="22"/>
          <w:lang w:val="en-US" w:eastAsia="zh-CN"/>
        </w:rPr>
      </w:pPr>
      <w:r>
        <w:rPr>
          <w:rFonts w:hint="eastAsia" w:ascii="Arial" w:hAnsi="Arial" w:cs="Arial"/>
          <w:sz w:val="22"/>
          <w:lang w:val="en-US" w:eastAsia="zh-CN"/>
        </w:rPr>
        <w:drawing>
          <wp:inline distT="0" distB="0" distL="114300" distR="114300">
            <wp:extent cx="3898900" cy="3061970"/>
            <wp:effectExtent l="0" t="0" r="6350" b="5080"/>
            <wp:docPr id="3" name="图片 3" descr="D6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60-12"/>
                    <pic:cNvPicPr>
                      <a:picLocks noChangeAspect="1"/>
                    </pic:cNvPicPr>
                  </pic:nvPicPr>
                  <pic:blipFill>
                    <a:blip r:embed="rId7"/>
                    <a:srcRect t="12411" b="9076"/>
                    <a:stretch>
                      <a:fillRect/>
                    </a:stretch>
                  </pic:blipFill>
                  <pic:spPr>
                    <a:xfrm>
                      <a:off x="0" y="0"/>
                      <a:ext cx="3898900" cy="3061970"/>
                    </a:xfrm>
                    <a:prstGeom prst="rect">
                      <a:avLst/>
                    </a:prstGeom>
                  </pic:spPr>
                </pic:pic>
              </a:graphicData>
            </a:graphic>
          </wp:inline>
        </w:drawing>
      </w:r>
    </w:p>
    <w:p w14:paraId="545F7682">
      <w:pPr>
        <w:spacing w:line="360" w:lineRule="auto"/>
        <w:jc w:val="left"/>
        <w:rPr>
          <w:rFonts w:hint="eastAsia" w:ascii="Arial" w:hAnsi="Arial" w:cs="Arial"/>
          <w:sz w:val="22"/>
          <w:lang w:val="en-US" w:eastAsia="zh-CN"/>
        </w:rPr>
      </w:pPr>
      <w:r>
        <w:rPr>
          <w:rFonts w:hint="default" w:ascii="Arial" w:hAnsi="Arial" w:cs="Arial"/>
          <w:b/>
          <w:color w:val="548235" w:themeColor="accent6" w:themeShade="BF"/>
          <w:sz w:val="32"/>
          <w:szCs w:val="32"/>
          <w:lang w:val="en-US" w:eastAsia="zh-CN"/>
        </w:rPr>
        <w:t>OVERVIEW</w:t>
      </w:r>
    </w:p>
    <w:p w14:paraId="3B709A00">
      <w:pPr>
        <w:spacing w:line="360" w:lineRule="auto"/>
        <w:jc w:val="both"/>
        <w:rPr>
          <w:rFonts w:hint="default"/>
          <w:lang w:val="en-US" w:eastAsia="zh-CN"/>
        </w:rPr>
      </w:pPr>
      <w:r>
        <w:rPr>
          <w:rFonts w:hint="eastAsia" w:ascii="Arial" w:hAnsi="Arial" w:eastAsia="宋体" w:cs="Arial"/>
          <w:color w:val="404040" w:themeColor="text1" w:themeTint="BF"/>
          <w:kern w:val="0"/>
          <w:sz w:val="21"/>
          <w:szCs w:val="21"/>
          <w:lang w:val="en-US" w:eastAsia="zh-CN" w:bidi="ar-SA"/>
          <w14:textFill>
            <w14:solidFill>
              <w14:schemeClr w14:val="tx1">
                <w14:lumMod w14:val="75000"/>
                <w14:lumOff w14:val="25000"/>
              </w14:schemeClr>
            </w14:solidFill>
          </w14:textFill>
        </w:rPr>
        <w:t xml:space="preserve">The D60-12 </w:t>
      </w:r>
      <w:r>
        <w:rPr>
          <w:rFonts w:hint="default" w:ascii="Arial" w:hAnsi="Arial" w:eastAsia="宋体" w:cs="Arial"/>
          <w:color w:val="404040" w:themeColor="text1" w:themeTint="BF"/>
          <w:kern w:val="0"/>
          <w:sz w:val="21"/>
          <w:szCs w:val="21"/>
          <w:lang w:val="en-US" w:eastAsia="zh-CN" w:bidi="ar-SA"/>
          <w14:textFill>
            <w14:solidFill>
              <w14:schemeClr w14:val="tx1">
                <w14:lumMod w14:val="75000"/>
                <w14:lumOff w14:val="25000"/>
              </w14:schemeClr>
            </w14:solidFill>
          </w14:textFill>
        </w:rPr>
        <w:t>is an e</w:t>
      </w:r>
      <w:r>
        <w:rPr>
          <w:rFonts w:hint="default" w:ascii="Arial" w:hAnsi="Arial" w:eastAsia="宋体" w:cs="Arial"/>
          <w:color w:val="3F3F3F"/>
          <w:kern w:val="0"/>
          <w:sz w:val="21"/>
          <w:szCs w:val="21"/>
          <w:lang w:val="en-US" w:eastAsia="zh-CN"/>
        </w:rPr>
        <w:t xml:space="preserve">conomical 60W DIN </w:t>
      </w:r>
      <w:r>
        <w:rPr>
          <w:rFonts w:hint="eastAsia" w:ascii="Arial" w:hAnsi="Arial" w:eastAsia="宋体" w:cs="Arial"/>
          <w:color w:val="3F3F3F"/>
          <w:kern w:val="0"/>
          <w:sz w:val="21"/>
          <w:szCs w:val="21"/>
          <w:lang w:val="en-US" w:eastAsia="zh-CN"/>
        </w:rPr>
        <w:t>R</w:t>
      </w:r>
      <w:r>
        <w:rPr>
          <w:rFonts w:hint="default" w:ascii="Arial" w:hAnsi="Arial" w:eastAsia="宋体" w:cs="Arial"/>
          <w:color w:val="3F3F3F"/>
          <w:kern w:val="0"/>
          <w:sz w:val="21"/>
          <w:szCs w:val="21"/>
          <w:lang w:val="en-US" w:eastAsia="zh-CN"/>
        </w:rPr>
        <w:t>ail industrial power supply conforming to German industrial standards. It is suitable for installation on TS-35/7.5 or TS-35/15 rails and features a full-range AC input from 90Vac to 264Vac, complying with EN61000-3-2 standards regarding EU-specified harmonic c</w:t>
      </w:r>
      <w:r>
        <w:rPr>
          <w:rFonts w:hint="default" w:ascii="Arial" w:hAnsi="Arial" w:eastAsia="宋体" w:cs="Arial"/>
          <w:color w:val="404040" w:themeColor="text1" w:themeTint="BF"/>
          <w:kern w:val="0"/>
          <w:sz w:val="21"/>
          <w:szCs w:val="21"/>
          <w:lang w:val="en-US" w:eastAsia="zh-CN" w:bidi="ar-SA"/>
          <w14:textFill>
            <w14:solidFill>
              <w14:schemeClr w14:val="tx1">
                <w14:lumMod w14:val="75000"/>
                <w14:lumOff w14:val="25000"/>
              </w14:schemeClr>
            </w14:solidFill>
          </w14:textFill>
        </w:rPr>
        <w:t>urrent specifications.</w:t>
      </w:r>
    </w:p>
    <w:p w14:paraId="748F88FF">
      <w:pPr>
        <w:spacing w:line="360" w:lineRule="auto"/>
        <w:jc w:val="both"/>
        <w:rPr>
          <w:rFonts w:hint="default" w:ascii="Arial" w:hAnsi="Arial" w:eastAsia="宋体" w:cs="Arial"/>
          <w:color w:val="404040" w:themeColor="text1" w:themeTint="BF"/>
          <w:kern w:val="0"/>
          <w:sz w:val="21"/>
          <w:szCs w:val="21"/>
          <w:lang w:val="en-US" w:eastAsia="zh-CN" w:bidi="ar-SA"/>
          <w14:textFill>
            <w14:solidFill>
              <w14:schemeClr w14:val="tx1">
                <w14:lumMod w14:val="75000"/>
                <w14:lumOff w14:val="25000"/>
              </w14:schemeClr>
            </w14:solidFill>
          </w14:textFill>
        </w:rPr>
      </w:pPr>
      <w:r>
        <w:rPr>
          <w:rFonts w:ascii="Arial" w:hAnsi="Arial" w:eastAsia="宋体" w:cs="Arial"/>
          <w:color w:val="3F3F3F"/>
          <w:kern w:val="0"/>
          <w:sz w:val="21"/>
          <w:szCs w:val="21"/>
        </w:rPr>
        <w:t>It uses a highly flame-retardant plastic housing to ensure safety, robustness, and durability. Based on the principle of natural air convection, the bottom and top of the housing are equipped with numerous ventilation holes to facilitate internal airflow, ensuring a high conversion efficiency of 8</w:t>
      </w:r>
      <w:r>
        <w:rPr>
          <w:rFonts w:hint="eastAsia" w:ascii="Arial" w:hAnsi="Arial" w:eastAsia="宋体" w:cs="Arial"/>
          <w:color w:val="3F3F3F"/>
          <w:kern w:val="0"/>
          <w:sz w:val="21"/>
          <w:szCs w:val="21"/>
          <w:lang w:val="en-US" w:eastAsia="zh-CN"/>
        </w:rPr>
        <w:t>8</w:t>
      </w:r>
      <w:r>
        <w:rPr>
          <w:rFonts w:ascii="Arial" w:hAnsi="Arial" w:eastAsia="宋体" w:cs="Arial"/>
          <w:color w:val="3F3F3F"/>
          <w:kern w:val="0"/>
          <w:sz w:val="21"/>
          <w:szCs w:val="21"/>
        </w:rPr>
        <w:t>%, extending the power supply's lifespan, and easily handling harsh environments from -40°C to +70°C. Furthermore, this power supply features short-circuit, overcurrent, and overvoltage protection, making it suitable for a wide variety of inductive or capacitive load applications. Its comprehensive protection functions and compliance with relevant industrial control equipment certifications make it a highly competitive power supply solution for industrial applications.</w:t>
      </w:r>
    </w:p>
    <w:p w14:paraId="6CFFE495">
      <w:pPr>
        <w:pStyle w:val="8"/>
        <w:bidi w:val="0"/>
        <w:rPr>
          <w:rFonts w:hint="eastAsia"/>
          <w:lang w:val="en-US" w:eastAsia="zh-CN"/>
        </w:rPr>
      </w:pPr>
    </w:p>
    <w:p w14:paraId="715BA763">
      <w:pPr>
        <w:spacing w:line="360" w:lineRule="auto"/>
        <w:jc w:val="left"/>
        <w:rPr>
          <w:rFonts w:hint="default" w:ascii="Arial" w:hAnsi="Arial" w:cs="Arial"/>
          <w:b/>
          <w:color w:val="548235" w:themeColor="accent6" w:themeShade="BF"/>
          <w:sz w:val="32"/>
          <w:szCs w:val="32"/>
          <w:lang w:val="en-US" w:eastAsia="zh-CN"/>
        </w:rPr>
      </w:pPr>
      <w:r>
        <w:rPr>
          <w:rFonts w:hint="default" w:ascii="Arial" w:hAnsi="Arial" w:cs="Arial"/>
          <w:b/>
          <w:color w:val="548235" w:themeColor="accent6" w:themeShade="BF"/>
          <w:sz w:val="32"/>
          <w:szCs w:val="32"/>
          <w:lang w:val="en-US" w:eastAsia="zh-CN"/>
        </w:rPr>
        <w:t>FEATURE</w:t>
      </w:r>
    </w:p>
    <w:p w14:paraId="4DF9D419">
      <w:pPr>
        <w:pStyle w:val="7"/>
        <w:numPr>
          <w:ilvl w:val="0"/>
          <w:numId w:val="1"/>
        </w:numPr>
        <w:tabs>
          <w:tab w:val="left" w:pos="-420"/>
          <w:tab w:val="clear" w:pos="0"/>
        </w:tabs>
        <w:spacing w:beforeLines="-2147483648" w:afterLines="-2147483648" w:line="360" w:lineRule="auto"/>
        <w:ind w:left="360" w:leftChars="0" w:firstLineChars="0"/>
        <w:jc w:val="left"/>
        <w:rPr>
          <w:rFonts w:hint="default" w:ascii="Arial" w:hAnsi="Arial" w:eastAsia="宋体" w:cs="Arial"/>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eastAsia="宋体" w:cs="Arial"/>
          <w:color w:val="404040" w:themeColor="text1" w:themeTint="BF"/>
          <w:sz w:val="21"/>
          <w:szCs w:val="21"/>
          <w:lang w:val="en-US" w:eastAsia="zh-CN"/>
          <w14:textFill>
            <w14:solidFill>
              <w14:schemeClr w14:val="tx1">
                <w14:lumMod w14:val="75000"/>
                <w14:lumOff w14:val="25000"/>
              </w14:schemeClr>
            </w14:solidFill>
          </w14:textFill>
        </w:rPr>
        <w:t>90~264VAC input</w:t>
      </w:r>
    </w:p>
    <w:p w14:paraId="1E8E2FF9">
      <w:pPr>
        <w:pStyle w:val="7"/>
        <w:numPr>
          <w:ilvl w:val="0"/>
          <w:numId w:val="1"/>
        </w:numPr>
        <w:tabs>
          <w:tab w:val="left" w:pos="-420"/>
          <w:tab w:val="clear" w:pos="0"/>
        </w:tabs>
        <w:spacing w:beforeLines="-2147483648" w:afterLines="-2147483648" w:line="360" w:lineRule="auto"/>
        <w:ind w:left="360" w:leftChars="0" w:firstLineChars="0"/>
        <w:jc w:val="left"/>
        <w:rPr>
          <w:rFonts w:hint="default" w:ascii="Arial" w:hAnsi="Arial" w:eastAsia="宋体" w:cs="Arial"/>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eastAsia="宋体" w:cs="Arial"/>
          <w:color w:val="404040" w:themeColor="text1" w:themeTint="BF"/>
          <w:sz w:val="21"/>
          <w:szCs w:val="21"/>
          <w:lang w:val="en-US" w:eastAsia="zh-CN"/>
          <w14:textFill>
            <w14:solidFill>
              <w14:schemeClr w14:val="tx1">
                <w14:lumMod w14:val="75000"/>
                <w14:lumOff w14:val="25000"/>
              </w14:schemeClr>
            </w14:solidFill>
          </w14:textFill>
        </w:rPr>
        <w:t>100% full load aging test</w:t>
      </w:r>
    </w:p>
    <w:p w14:paraId="1108790C">
      <w:pPr>
        <w:pStyle w:val="7"/>
        <w:numPr>
          <w:ilvl w:val="0"/>
          <w:numId w:val="1"/>
        </w:numPr>
        <w:tabs>
          <w:tab w:val="left" w:pos="-420"/>
          <w:tab w:val="clear" w:pos="0"/>
        </w:tabs>
        <w:spacing w:beforeLines="-2147483648" w:afterLines="-2147483648" w:line="360" w:lineRule="auto"/>
        <w:ind w:left="360" w:leftChars="0" w:firstLineChars="0"/>
        <w:jc w:val="left"/>
        <w:rPr>
          <w:rFonts w:hint="default" w:ascii="Arial" w:hAnsi="Arial" w:eastAsia="宋体" w:cs="Arial"/>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eastAsia="宋体" w:cs="Arial"/>
          <w:color w:val="404040" w:themeColor="text1" w:themeTint="BF"/>
          <w:sz w:val="21"/>
          <w:szCs w:val="21"/>
          <w:lang w:val="en-US" w:eastAsia="zh-CN"/>
          <w14:textFill>
            <w14:solidFill>
              <w14:schemeClr w14:val="tx1">
                <w14:lumMod w14:val="75000"/>
                <w14:lumOff w14:val="25000"/>
              </w14:schemeClr>
            </w14:solidFill>
          </w14:textFill>
        </w:rPr>
        <w:t xml:space="preserve">Meets safety </w:t>
      </w:r>
      <w:r>
        <w:rPr>
          <w:rFonts w:hint="eastAsia" w:ascii="Arial" w:hAnsi="Arial" w:eastAsia="宋体" w:cs="Arial"/>
          <w:color w:val="404040" w:themeColor="text1" w:themeTint="BF"/>
          <w:sz w:val="21"/>
          <w:szCs w:val="21"/>
          <w:lang w:val="en-US" w:eastAsia="zh-CN"/>
          <w14:textFill>
            <w14:solidFill>
              <w14:schemeClr w14:val="tx1">
                <w14:lumMod w14:val="75000"/>
                <w14:lumOff w14:val="25000"/>
              </w14:schemeClr>
            </w14:solidFill>
          </w14:textFill>
        </w:rPr>
        <w:t xml:space="preserve">and </w:t>
      </w:r>
      <w:r>
        <w:rPr>
          <w:rFonts w:hint="default" w:ascii="Arial" w:hAnsi="Arial" w:eastAsia="宋体" w:cs="Arial"/>
          <w:color w:val="404040" w:themeColor="text1" w:themeTint="BF"/>
          <w:sz w:val="21"/>
          <w:szCs w:val="21"/>
          <w:lang w:val="en-US" w:eastAsia="zh-CN"/>
          <w14:textFill>
            <w14:solidFill>
              <w14:schemeClr w14:val="tx1">
                <w14:lumMod w14:val="75000"/>
                <w14:lumOff w14:val="25000"/>
              </w14:schemeClr>
            </w14:solidFill>
          </w14:textFill>
        </w:rPr>
        <w:t>EMC standards</w:t>
      </w:r>
    </w:p>
    <w:p w14:paraId="2AC2756D">
      <w:pPr>
        <w:pStyle w:val="7"/>
        <w:numPr>
          <w:ilvl w:val="0"/>
          <w:numId w:val="1"/>
        </w:numPr>
        <w:tabs>
          <w:tab w:val="left" w:pos="-420"/>
          <w:tab w:val="clear" w:pos="0"/>
        </w:tabs>
        <w:spacing w:beforeLines="-2147483648" w:afterLines="-2147483648" w:line="360" w:lineRule="auto"/>
        <w:ind w:left="360" w:leftChars="0" w:firstLineChars="0"/>
        <w:jc w:val="left"/>
        <w:rPr>
          <w:rFonts w:hint="default" w:ascii="Arial" w:hAnsi="Arial" w:eastAsia="宋体" w:cs="Arial"/>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eastAsia="宋体" w:cs="Arial"/>
          <w:color w:val="404040" w:themeColor="text1" w:themeTint="BF"/>
          <w:sz w:val="21"/>
          <w:szCs w:val="21"/>
          <w:lang w:val="en-US" w:eastAsia="zh-CN"/>
          <w14:textFill>
            <w14:solidFill>
              <w14:schemeClr w14:val="tx1">
                <w14:lumMod w14:val="75000"/>
                <w14:lumOff w14:val="25000"/>
              </w14:schemeClr>
            </w14:solidFill>
          </w14:textFill>
        </w:rPr>
        <w:t>High efficiency, long life, and high reliability</w:t>
      </w:r>
    </w:p>
    <w:p w14:paraId="6794C889">
      <w:pPr>
        <w:pStyle w:val="7"/>
        <w:numPr>
          <w:ilvl w:val="0"/>
          <w:numId w:val="1"/>
        </w:numPr>
        <w:tabs>
          <w:tab w:val="left" w:pos="-420"/>
          <w:tab w:val="clear" w:pos="0"/>
        </w:tabs>
        <w:spacing w:beforeLines="-2147483648" w:afterLines="-2147483648" w:line="360" w:lineRule="auto"/>
        <w:ind w:left="360" w:leftChars="0" w:firstLineChars="0"/>
        <w:jc w:val="left"/>
        <w:rPr>
          <w:rFonts w:hint="default" w:ascii="Arial" w:hAnsi="Arial" w:eastAsia="宋体" w:cs="Arial"/>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eastAsia="宋体" w:cs="Arial"/>
          <w:color w:val="404040" w:themeColor="text1" w:themeTint="BF"/>
          <w:sz w:val="21"/>
          <w:szCs w:val="21"/>
          <w:lang w:val="en-US" w:eastAsia="zh-CN"/>
          <w14:textFill>
            <w14:solidFill>
              <w14:schemeClr w14:val="tx1">
                <w14:lumMod w14:val="75000"/>
                <w14:lumOff w14:val="25000"/>
              </w14:schemeClr>
            </w14:solidFill>
          </w14:textFill>
        </w:rPr>
        <w:t>Operating temperature range: -40℃~+70℃</w:t>
      </w:r>
    </w:p>
    <w:p w14:paraId="617DBF33">
      <w:pPr>
        <w:pStyle w:val="7"/>
        <w:numPr>
          <w:ilvl w:val="0"/>
          <w:numId w:val="1"/>
        </w:numPr>
        <w:tabs>
          <w:tab w:val="left" w:pos="-420"/>
          <w:tab w:val="clear" w:pos="0"/>
        </w:tabs>
        <w:spacing w:beforeLines="-2147483648" w:afterLines="-2147483648" w:line="360" w:lineRule="auto"/>
        <w:ind w:left="360" w:leftChars="0" w:firstLineChars="0"/>
        <w:jc w:val="left"/>
        <w:rPr>
          <w:rFonts w:hint="default" w:ascii="Arial" w:hAnsi="Arial" w:eastAsia="宋体" w:cs="Arial"/>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eastAsia="宋体" w:cs="Arial"/>
          <w:color w:val="404040" w:themeColor="text1" w:themeTint="BF"/>
          <w:sz w:val="21"/>
          <w:szCs w:val="21"/>
          <w:lang w:val="en-US" w:eastAsia="zh-CN"/>
          <w14:textFill>
            <w14:solidFill>
              <w14:schemeClr w14:val="tx1">
                <w14:lumMod w14:val="75000"/>
                <w14:lumOff w14:val="25000"/>
              </w14:schemeClr>
            </w14:solidFill>
          </w14:textFill>
        </w:rPr>
        <w:t>Protection functions: short circuit/overload/overvoltage</w:t>
      </w:r>
    </w:p>
    <w:p w14:paraId="5B1B260D">
      <w:pPr>
        <w:pStyle w:val="8"/>
        <w:bidi w:val="0"/>
        <w:rPr>
          <w:rFonts w:hint="default"/>
        </w:rPr>
      </w:pPr>
    </w:p>
    <w:p w14:paraId="78633B25">
      <w:pPr>
        <w:spacing w:line="360" w:lineRule="auto"/>
        <w:jc w:val="left"/>
        <w:rPr>
          <w:rFonts w:hint="default" w:ascii="Arial" w:hAnsi="Arial" w:cs="Arial"/>
          <w:b/>
          <w:color w:val="548235" w:themeColor="accent6" w:themeShade="BF"/>
          <w:sz w:val="32"/>
          <w:szCs w:val="32"/>
          <w:lang w:val="en-US" w:eastAsia="zh-CN"/>
        </w:rPr>
      </w:pPr>
      <w:r>
        <w:rPr>
          <w:rFonts w:hint="default" w:ascii="Arial" w:hAnsi="Arial" w:cs="Arial"/>
          <w:b/>
          <w:color w:val="548235" w:themeColor="accent6" w:themeShade="BF"/>
          <w:sz w:val="32"/>
          <w:szCs w:val="32"/>
          <w:lang w:val="en-US" w:eastAsia="zh-CN"/>
        </w:rPr>
        <w:t>APPLICATION</w:t>
      </w:r>
    </w:p>
    <w:p w14:paraId="3AF9195A">
      <w:pPr>
        <w:pStyle w:val="7"/>
        <w:numPr>
          <w:ilvl w:val="0"/>
          <w:numId w:val="1"/>
        </w:numPr>
        <w:tabs>
          <w:tab w:val="left" w:pos="-420"/>
          <w:tab w:val="clear" w:pos="0"/>
        </w:tabs>
        <w:spacing w:beforeLines="-2147483648" w:afterLines="-2147483648" w:line="360" w:lineRule="auto"/>
        <w:ind w:left="360" w:leftChars="0" w:firstLineChars="0"/>
        <w:jc w:val="left"/>
        <w:rPr>
          <w:rFonts w:hint="default" w:ascii="Arial" w:hAnsi="Arial" w:eastAsia="宋体" w:cs="Arial"/>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eastAsia="宋体" w:cs="Arial"/>
          <w:color w:val="404040" w:themeColor="text1" w:themeTint="BF"/>
          <w:sz w:val="21"/>
          <w:szCs w:val="21"/>
          <w:lang w:val="en-US" w:eastAsia="zh-CN"/>
          <w14:textFill>
            <w14:solidFill>
              <w14:schemeClr w14:val="tx1">
                <w14:lumMod w14:val="75000"/>
                <w14:lumOff w14:val="25000"/>
              </w14:schemeClr>
            </w14:solidFill>
          </w14:textFill>
        </w:rPr>
        <w:t>Factory automation</w:t>
      </w:r>
    </w:p>
    <w:p w14:paraId="107B9958">
      <w:pPr>
        <w:pStyle w:val="7"/>
        <w:numPr>
          <w:ilvl w:val="0"/>
          <w:numId w:val="1"/>
        </w:numPr>
        <w:tabs>
          <w:tab w:val="left" w:pos="-420"/>
          <w:tab w:val="clear" w:pos="0"/>
        </w:tabs>
        <w:spacing w:beforeLines="-2147483648" w:afterLines="-2147483648" w:line="360" w:lineRule="auto"/>
        <w:ind w:left="360" w:leftChars="0" w:firstLineChars="0"/>
        <w:jc w:val="left"/>
        <w:rPr>
          <w:rFonts w:hint="default" w:ascii="Arial" w:hAnsi="Arial" w:eastAsia="宋体" w:cs="Arial"/>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eastAsia="宋体" w:cs="Arial"/>
          <w:color w:val="404040" w:themeColor="text1" w:themeTint="BF"/>
          <w:sz w:val="21"/>
          <w:szCs w:val="21"/>
          <w:lang w:val="en-US" w:eastAsia="zh-CN"/>
          <w14:textFill>
            <w14:solidFill>
              <w14:schemeClr w14:val="tx1">
                <w14:lumMod w14:val="75000"/>
                <w14:lumOff w14:val="25000"/>
              </w14:schemeClr>
            </w14:solidFill>
          </w14:textFill>
        </w:rPr>
        <w:t>Industrial control systems</w:t>
      </w:r>
    </w:p>
    <w:p w14:paraId="3A09B937">
      <w:pPr>
        <w:pStyle w:val="7"/>
        <w:numPr>
          <w:ilvl w:val="0"/>
          <w:numId w:val="1"/>
        </w:numPr>
        <w:tabs>
          <w:tab w:val="left" w:pos="-420"/>
          <w:tab w:val="clear" w:pos="0"/>
        </w:tabs>
        <w:spacing w:beforeLines="-2147483648" w:afterLines="-2147483648" w:line="360" w:lineRule="auto"/>
        <w:ind w:left="360" w:leftChars="0" w:firstLineChars="0"/>
        <w:jc w:val="left"/>
        <w:rPr>
          <w:rFonts w:hint="default" w:ascii="Arial" w:hAnsi="Arial" w:eastAsia="宋体" w:cs="Arial"/>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eastAsia="宋体" w:cs="Arial"/>
          <w:color w:val="404040" w:themeColor="text1" w:themeTint="BF"/>
          <w:sz w:val="21"/>
          <w:szCs w:val="21"/>
          <w:lang w:val="en-US" w:eastAsia="zh-CN"/>
          <w14:textFill>
            <w14:solidFill>
              <w14:schemeClr w14:val="tx1">
                <w14:lumMod w14:val="75000"/>
                <w14:lumOff w14:val="25000"/>
              </w14:schemeClr>
            </w14:solidFill>
          </w14:textFill>
        </w:rPr>
        <w:t>Electromechanical equipment</w:t>
      </w:r>
    </w:p>
    <w:p w14:paraId="384EE0FC">
      <w:pPr>
        <w:pStyle w:val="7"/>
        <w:numPr>
          <w:ilvl w:val="0"/>
          <w:numId w:val="1"/>
        </w:numPr>
        <w:tabs>
          <w:tab w:val="left" w:pos="-420"/>
          <w:tab w:val="clear" w:pos="0"/>
        </w:tabs>
        <w:spacing w:beforeLines="-2147483648" w:afterLines="-2147483648" w:line="360" w:lineRule="auto"/>
        <w:ind w:left="360" w:leftChars="0" w:firstLineChars="0"/>
        <w:jc w:val="left"/>
        <w:rPr>
          <w:rFonts w:hint="default" w:ascii="Arial" w:hAnsi="Arial" w:eastAsia="宋体" w:cs="Arial"/>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eastAsia="宋体" w:cs="Arial"/>
          <w:color w:val="404040" w:themeColor="text1" w:themeTint="BF"/>
          <w:sz w:val="21"/>
          <w:szCs w:val="21"/>
          <w:lang w:val="en-US" w:eastAsia="zh-CN"/>
          <w14:textFill>
            <w14:solidFill>
              <w14:schemeClr w14:val="tx1">
                <w14:lumMod w14:val="75000"/>
                <w14:lumOff w14:val="25000"/>
              </w14:schemeClr>
            </w14:solidFill>
          </w14:textFill>
        </w:rPr>
        <w:t>Semiconductor manufacturing equipment</w:t>
      </w:r>
    </w:p>
    <w:p w14:paraId="044CB4FD">
      <w:pPr>
        <w:pStyle w:val="8"/>
        <w:bidi w:val="0"/>
        <w:rPr>
          <w:rFonts w:hint="eastAsia"/>
          <w:lang w:val="en-US" w:eastAsia="zh-CN"/>
        </w:rPr>
      </w:pPr>
    </w:p>
    <w:p w14:paraId="53A308E5">
      <w:pPr>
        <w:spacing w:line="360" w:lineRule="auto"/>
        <w:jc w:val="left"/>
        <w:rPr>
          <w:rFonts w:hint="default" w:ascii="Arial" w:hAnsi="Arial" w:cs="Arial"/>
          <w:b/>
          <w:color w:val="548235" w:themeColor="accent6" w:themeShade="BF"/>
          <w:sz w:val="32"/>
          <w:szCs w:val="32"/>
          <w:lang w:val="en-US" w:eastAsia="zh-CN"/>
        </w:rPr>
      </w:pPr>
      <w:r>
        <w:rPr>
          <w:rFonts w:hint="default" w:ascii="Arial" w:hAnsi="Arial" w:cs="Arial"/>
          <w:b/>
          <w:color w:val="548235" w:themeColor="accent6" w:themeShade="BF"/>
          <w:sz w:val="32"/>
          <w:szCs w:val="32"/>
          <w:lang w:val="en-US" w:eastAsia="zh-CN"/>
        </w:rPr>
        <w:t>TECHNICAL SPECIFICATION</w:t>
      </w:r>
    </w:p>
    <w:p w14:paraId="43E6F1DF">
      <w:pPr>
        <w:pStyle w:val="8"/>
        <w:bidi w:val="0"/>
        <w:rPr>
          <w:rFonts w:hint="default"/>
          <w:lang w:val="en-US" w:eastAsia="zh-CN"/>
        </w:rPr>
      </w:pPr>
    </w:p>
    <w:tbl>
      <w:tblPr>
        <w:tblStyle w:val="3"/>
        <w:tblW w:w="9656"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7" w:type="dxa"/>
          <w:left w:w="74" w:type="dxa"/>
          <w:bottom w:w="17" w:type="dxa"/>
          <w:right w:w="17" w:type="dxa"/>
        </w:tblCellMar>
      </w:tblPr>
      <w:tblGrid>
        <w:gridCol w:w="2700"/>
        <w:gridCol w:w="6956"/>
      </w:tblGrid>
      <w:tr w14:paraId="1AB1D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l2br w:val="nil"/>
            </w:tcBorders>
            <w:shd w:val="clear" w:color="auto" w:fill="4472C4"/>
            <w:vAlign w:val="center"/>
          </w:tcPr>
          <w:p w14:paraId="6282ADD4">
            <w:pPr>
              <w:pStyle w:val="8"/>
              <w:keepNext w:val="0"/>
              <w:keepLines w:val="0"/>
              <w:suppressLineNumbers w:val="0"/>
              <w:bidi w:val="0"/>
              <w:spacing w:before="0" w:beforeAutospacing="0" w:after="0" w:afterAutospacing="0" w:line="360" w:lineRule="auto"/>
              <w:ind w:left="0" w:right="0"/>
              <w:jc w:val="center"/>
              <w:rPr>
                <w:rFonts w:hint="default" w:ascii="Arial" w:hAnsi="Arial" w:cs="Arial"/>
                <w:b/>
                <w:color w:val="FFFFFF" w:themeColor="background1"/>
                <w:sz w:val="21"/>
                <w:szCs w:val="21"/>
                <w14:textFill>
                  <w14:solidFill>
                    <w14:schemeClr w14:val="bg1"/>
                  </w14:solidFill>
                </w14:textFill>
              </w:rPr>
            </w:pPr>
            <w:r>
              <w:rPr>
                <w:rFonts w:hint="default" w:ascii="Arial" w:hAnsi="Arial" w:cs="Arial"/>
                <w:b/>
                <w:color w:val="FFFFFF" w:themeColor="background1"/>
                <w:sz w:val="21"/>
                <w:szCs w:val="21"/>
                <w:lang w:val="en-US" w:eastAsia="zh-CN"/>
                <w14:textFill>
                  <w14:solidFill>
                    <w14:schemeClr w14:val="bg1"/>
                  </w14:solidFill>
                </w14:textFill>
              </w:rPr>
              <w:t>Model</w:t>
            </w:r>
          </w:p>
        </w:tc>
        <w:tc>
          <w:tcPr>
            <w:tcW w:w="6956" w:type="dxa"/>
            <w:tcBorders>
              <w:top w:val="single" w:color="FFFFFF" w:sz="4" w:space="0"/>
              <w:left w:val="single" w:color="FFFFFF" w:sz="4" w:space="0"/>
              <w:bottom w:val="single" w:color="FFFFFF" w:sz="4" w:space="0"/>
              <w:right w:val="single" w:color="FFFFFF" w:sz="4" w:space="0"/>
            </w:tcBorders>
            <w:shd w:val="clear" w:color="auto" w:fill="4472C4"/>
            <w:vAlign w:val="center"/>
          </w:tcPr>
          <w:p w14:paraId="2732AD7C">
            <w:pPr>
              <w:pStyle w:val="8"/>
              <w:keepNext w:val="0"/>
              <w:keepLines w:val="0"/>
              <w:suppressLineNumbers w:val="0"/>
              <w:bidi w:val="0"/>
              <w:spacing w:before="0" w:beforeAutospacing="0" w:after="0" w:afterAutospacing="0" w:line="360" w:lineRule="auto"/>
              <w:ind w:left="0" w:right="0"/>
              <w:jc w:val="center"/>
              <w:rPr>
                <w:rFonts w:hint="default" w:ascii="Arial" w:hAnsi="Arial" w:cs="Arial"/>
                <w:b/>
                <w:color w:val="FFFFFF" w:themeColor="background1"/>
                <w:sz w:val="21"/>
                <w:szCs w:val="21"/>
                <w:lang w:val="en-US" w:eastAsia="zh-CN"/>
                <w14:textFill>
                  <w14:solidFill>
                    <w14:schemeClr w14:val="bg1"/>
                  </w14:solidFill>
                </w14:textFill>
              </w:rPr>
            </w:pPr>
            <w:r>
              <w:rPr>
                <w:rFonts w:hint="eastAsia" w:ascii="Arial" w:hAnsi="Arial" w:cs="Arial"/>
                <w:b/>
                <w:color w:val="FFFFFF" w:themeColor="background1"/>
                <w:sz w:val="21"/>
                <w:szCs w:val="21"/>
                <w:lang w:val="en-US" w:eastAsia="zh-CN"/>
                <w14:textFill>
                  <w14:solidFill>
                    <w14:schemeClr w14:val="bg1"/>
                  </w14:solidFill>
                </w14:textFill>
              </w:rPr>
              <w:t>D60-12</w:t>
            </w:r>
          </w:p>
        </w:tc>
      </w:tr>
      <w:tr w14:paraId="06659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9656" w:type="dxa"/>
            <w:gridSpan w:val="2"/>
            <w:tcBorders>
              <w:top w:val="single" w:color="FFFFFF" w:sz="4" w:space="0"/>
              <w:left w:val="single" w:color="FFFFFF" w:sz="4" w:space="0"/>
              <w:bottom w:val="single" w:color="FFFFFF" w:sz="4" w:space="0"/>
              <w:right w:val="single" w:color="FFFFFF" w:sz="4" w:space="0"/>
            </w:tcBorders>
            <w:shd w:val="clear" w:color="auto" w:fill="B3C6E7"/>
            <w:vAlign w:val="center"/>
          </w:tcPr>
          <w:p w14:paraId="70D8068A">
            <w:pPr>
              <w:pStyle w:val="8"/>
              <w:keepNext w:val="0"/>
              <w:keepLines w:val="0"/>
              <w:suppressLineNumbers w:val="0"/>
              <w:bidi w:val="0"/>
              <w:spacing w:before="0" w:beforeAutospacing="0" w:after="0" w:afterAutospacing="0" w:line="360" w:lineRule="auto"/>
              <w:ind w:left="0" w:right="0"/>
              <w:jc w:val="left"/>
              <w:rPr>
                <w:rFonts w:hint="default" w:ascii="Arial" w:hAnsi="Arial" w:cs="Arial"/>
                <w:b/>
                <w:bCs/>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bCs/>
                <w:color w:val="404040" w:themeColor="text1" w:themeTint="BF"/>
                <w:sz w:val="21"/>
                <w:szCs w:val="21"/>
                <w:lang w:val="en-US" w:eastAsia="zh-CN"/>
                <w14:textFill>
                  <w14:solidFill>
                    <w14:schemeClr w14:val="tx1">
                      <w14:lumMod w14:val="75000"/>
                      <w14:lumOff w14:val="25000"/>
                    </w14:schemeClr>
                  </w14:solidFill>
                </w14:textFill>
              </w:rPr>
              <w:t>Output</w:t>
            </w:r>
          </w:p>
        </w:tc>
      </w:tr>
      <w:tr w14:paraId="747A9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5D7C1C03">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Group of Output</w:t>
            </w:r>
          </w:p>
        </w:tc>
        <w:tc>
          <w:tcPr>
            <w:tcW w:w="6956"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59328320">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1</w:t>
            </w:r>
          </w:p>
        </w:tc>
      </w:tr>
      <w:tr w14:paraId="402BD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40982A56">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Rated Output Voltage</w:t>
            </w:r>
          </w:p>
        </w:tc>
        <w:tc>
          <w:tcPr>
            <w:tcW w:w="6956"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5AAF7D00">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12VDC</w:t>
            </w:r>
          </w:p>
        </w:tc>
      </w:tr>
      <w:tr w14:paraId="4EF36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76E73604">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Factory Set Output Voltage</w:t>
            </w:r>
          </w:p>
        </w:tc>
        <w:tc>
          <w:tcPr>
            <w:tcW w:w="6956"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50A39EEA">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1</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1.4</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-12.</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6</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VDC (Vin: 220Vac / LOAD: 0A)</w:t>
            </w:r>
          </w:p>
        </w:tc>
      </w:tr>
      <w:tr w14:paraId="0F956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2C036F4D">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Output Rated Current</w:t>
            </w:r>
          </w:p>
        </w:tc>
        <w:tc>
          <w:tcPr>
            <w:tcW w:w="6956"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0A15E3EA">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5</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.0</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A</w:t>
            </w:r>
          </w:p>
        </w:tc>
      </w:tr>
      <w:tr w14:paraId="0FA0B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1AC68C6D">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Output Current Range</w:t>
            </w:r>
          </w:p>
        </w:tc>
        <w:tc>
          <w:tcPr>
            <w:tcW w:w="6956"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4F5AD36D">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0-5</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.0</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A</w:t>
            </w:r>
          </w:p>
        </w:tc>
      </w:tr>
      <w:tr w14:paraId="57C06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349A2257">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Rated Output Power</w:t>
            </w:r>
          </w:p>
        </w:tc>
        <w:tc>
          <w:tcPr>
            <w:tcW w:w="6956"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79C68899">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60W</w:t>
            </w:r>
          </w:p>
        </w:tc>
      </w:tr>
      <w:tr w14:paraId="41E44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4BF299F3">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Total Peak Output Power</w:t>
            </w:r>
          </w:p>
        </w:tc>
        <w:tc>
          <w:tcPr>
            <w:tcW w:w="6956"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7668C856">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 xml:space="preserve">Total Peak Power: </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80</w:t>
            </w: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 xml:space="preserve"> W (Sustained for 10 seconds at 220 VAC)</w:t>
            </w:r>
          </w:p>
        </w:tc>
      </w:tr>
      <w:tr w14:paraId="242F7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15F3BD11">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Peak Output Current</w:t>
            </w:r>
          </w:p>
        </w:tc>
        <w:tc>
          <w:tcPr>
            <w:tcW w:w="6956"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375533ED">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6.66</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A (</w:t>
            </w: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Sustained for 10 seconds at 220 VAC</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w:t>
            </w:r>
          </w:p>
        </w:tc>
      </w:tr>
      <w:tr w14:paraId="79A09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69D55E23">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Ripple Noise</w:t>
            </w:r>
          </w:p>
        </w:tc>
        <w:tc>
          <w:tcPr>
            <w:tcW w:w="6956"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71E112F4">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Peak-to-peak value ≤</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20</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0mV. (Measurement method: The terminal should be connected in parallel with 0.1uF and 47uF capacitors, and the measurement should be performed at a bandwidth of 20MHz)</w:t>
            </w:r>
          </w:p>
        </w:tc>
      </w:tr>
      <w:tr w14:paraId="7D724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04A8B0B8">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Output Voltage Adjustment Range</w:t>
            </w:r>
          </w:p>
        </w:tc>
        <w:tc>
          <w:tcPr>
            <w:tcW w:w="6956"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766D4422">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11.</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8</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-14.</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2</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VDC</w:t>
            </w:r>
          </w:p>
        </w:tc>
      </w:tr>
      <w:tr w14:paraId="196CAA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4C9BAC0C">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Stabilized Voltage Precision</w:t>
            </w:r>
          </w:p>
        </w:tc>
        <w:tc>
          <w:tcPr>
            <w:tcW w:w="6956"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5F54380F">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5</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 xml:space="preserve"> (12.4VDC-12.6VDC)</w:t>
            </w:r>
          </w:p>
        </w:tc>
      </w:tr>
      <w:tr w14:paraId="45D17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6921A824">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Line Regulation</w:t>
            </w:r>
          </w:p>
        </w:tc>
        <w:tc>
          <w:tcPr>
            <w:tcW w:w="6956"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5FFC25DB">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1</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 xml:space="preserve">% (@90-264Vac input, </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0-</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100% load)</w:t>
            </w:r>
          </w:p>
        </w:tc>
      </w:tr>
      <w:tr w14:paraId="45218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219C2B4B">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Load Regulation</w:t>
            </w:r>
          </w:p>
        </w:tc>
        <w:tc>
          <w:tcPr>
            <w:tcW w:w="6956"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3858C3A7">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5</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 (@90-264Vac input, 0-100% load)</w:t>
            </w:r>
          </w:p>
        </w:tc>
      </w:tr>
      <w:tr w14:paraId="33A83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0AD0368F">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Output Start-up Time</w:t>
            </w:r>
          </w:p>
        </w:tc>
        <w:tc>
          <w:tcPr>
            <w:tcW w:w="6956"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61E9445D">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&lt;</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3.0</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S @nominal input (100% load)</w:t>
            </w:r>
          </w:p>
        </w:tc>
      </w:tr>
      <w:tr w14:paraId="6B226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476BA7F0">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Output Hold-up Time</w:t>
            </w:r>
          </w:p>
        </w:tc>
        <w:tc>
          <w:tcPr>
            <w:tcW w:w="6956"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2A047D14">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&gt;20ms@115Vac, &gt;1</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00</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ms @ 230Vac (100% load )</w:t>
            </w:r>
          </w:p>
        </w:tc>
      </w:tr>
      <w:tr w14:paraId="18BDD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06A5D62A">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Voltage Overshoot</w:t>
            </w:r>
          </w:p>
        </w:tc>
        <w:tc>
          <w:tcPr>
            <w:tcW w:w="6956"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6BC68E87">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10</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w:t>
            </w:r>
          </w:p>
        </w:tc>
      </w:tr>
      <w:tr w14:paraId="3C5587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9656" w:type="dxa"/>
            <w:gridSpan w:val="2"/>
            <w:tcBorders>
              <w:top w:val="single" w:color="FFFFFF" w:sz="4" w:space="0"/>
              <w:left w:val="single" w:color="FFFFFF" w:sz="4" w:space="0"/>
              <w:bottom w:val="single" w:color="FFFFFF" w:sz="4" w:space="0"/>
              <w:right w:val="single" w:color="FFFFFF" w:sz="4" w:space="0"/>
            </w:tcBorders>
            <w:shd w:val="clear" w:color="auto" w:fill="D9E3F3"/>
            <w:vAlign w:val="center"/>
          </w:tcPr>
          <w:p w14:paraId="5F3C6837">
            <w:pPr>
              <w:pStyle w:val="8"/>
              <w:keepNext w:val="0"/>
              <w:keepLines w:val="0"/>
              <w:suppressLineNumbers w:val="0"/>
              <w:bidi w:val="0"/>
              <w:spacing w:before="0" w:beforeAutospacing="0" w:after="0" w:afterAutospacing="0" w:line="360" w:lineRule="auto"/>
              <w:ind w:left="0" w:right="0"/>
              <w:jc w:val="left"/>
              <w:rPr>
                <w:rFonts w:hint="default" w:ascii="Arial" w:hAnsi="Arial" w:cs="Arial"/>
                <w:b/>
                <w:bCs/>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bCs/>
                <w:color w:val="404040" w:themeColor="text1" w:themeTint="BF"/>
                <w:sz w:val="21"/>
                <w:szCs w:val="21"/>
                <w:lang w:val="en-US" w:eastAsia="zh-CN"/>
                <w14:textFill>
                  <w14:solidFill>
                    <w14:schemeClr w14:val="tx1">
                      <w14:lumMod w14:val="75000"/>
                      <w14:lumOff w14:val="25000"/>
                    </w14:schemeClr>
                  </w14:solidFill>
                </w14:textFill>
              </w:rPr>
              <w:t>Input</w:t>
            </w:r>
          </w:p>
        </w:tc>
      </w:tr>
      <w:tr w14:paraId="453F0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3B05E94A">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Input Voltage Range</w:t>
            </w:r>
          </w:p>
        </w:tc>
        <w:tc>
          <w:tcPr>
            <w:tcW w:w="6956"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06F96978">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90-264VAC</w:t>
            </w:r>
          </w:p>
        </w:tc>
      </w:tr>
      <w:tr w14:paraId="1D0BD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209311E6">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Rated Input Voltage Range</w:t>
            </w:r>
          </w:p>
        </w:tc>
        <w:tc>
          <w:tcPr>
            <w:tcW w:w="6956"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4665DE07">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100-240VAC</w:t>
            </w:r>
          </w:p>
        </w:tc>
      </w:tr>
      <w:tr w14:paraId="71116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32257B97">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Frequency Range</w:t>
            </w:r>
          </w:p>
        </w:tc>
        <w:tc>
          <w:tcPr>
            <w:tcW w:w="6956"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15B0E046">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47Hz-63Hz</w:t>
            </w:r>
          </w:p>
        </w:tc>
      </w:tr>
      <w:tr w14:paraId="6F648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2090E6F6">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Rated Frequency</w:t>
            </w:r>
          </w:p>
        </w:tc>
        <w:tc>
          <w:tcPr>
            <w:tcW w:w="6956"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4A5838ED">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50Hz/60Hz</w:t>
            </w:r>
          </w:p>
        </w:tc>
      </w:tr>
      <w:tr w14:paraId="47DE21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0BA222E6">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Starting Voltage</w:t>
            </w:r>
          </w:p>
        </w:tc>
        <w:tc>
          <w:tcPr>
            <w:tcW w:w="6956"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644B245D">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90VAC</w:t>
            </w:r>
          </w:p>
        </w:tc>
      </w:tr>
      <w:tr w14:paraId="695BA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787F58D7">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Efficiency</w:t>
            </w:r>
          </w:p>
        </w:tc>
        <w:tc>
          <w:tcPr>
            <w:tcW w:w="6956"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4B810AF5">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&gt;85.0%@115VAC, &gt;8</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8</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.0%@ 230VAC</w:t>
            </w:r>
          </w:p>
        </w:tc>
      </w:tr>
      <w:tr w14:paraId="04451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3A76C6A9">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Input Current</w:t>
            </w:r>
          </w:p>
        </w:tc>
        <w:tc>
          <w:tcPr>
            <w:tcW w:w="6956"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58F5776B">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&lt;1.</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5</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0A@115VAC, &lt;0.80A@ 230VAC</w:t>
            </w:r>
          </w:p>
        </w:tc>
      </w:tr>
      <w:tr w14:paraId="74E73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68F4E3E1">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Start Inrush Current</w:t>
            </w:r>
          </w:p>
        </w:tc>
        <w:tc>
          <w:tcPr>
            <w:tcW w:w="6956"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77235494">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&lt;</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4</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0A@ 115VAC, &lt;</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50</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A@230VAC</w:t>
            </w:r>
          </w:p>
        </w:tc>
      </w:tr>
      <w:tr w14:paraId="0EEA5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09877B75">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Power Factor</w:t>
            </w:r>
          </w:p>
        </w:tc>
        <w:tc>
          <w:tcPr>
            <w:tcW w:w="6956"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37D59A88">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&gt;0.</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5</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 xml:space="preserve"> (at full load)</w:t>
            </w:r>
          </w:p>
        </w:tc>
      </w:tr>
      <w:tr w14:paraId="23E06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9656" w:type="dxa"/>
            <w:gridSpan w:val="2"/>
            <w:tcBorders>
              <w:top w:val="single" w:color="FFFFFF" w:sz="4" w:space="0"/>
              <w:left w:val="single" w:color="FFFFFF" w:sz="4" w:space="0"/>
              <w:bottom w:val="single" w:color="FFFFFF" w:sz="4" w:space="0"/>
              <w:right w:val="single" w:color="FFFFFF" w:sz="4" w:space="0"/>
            </w:tcBorders>
            <w:shd w:val="clear" w:color="auto" w:fill="D9E3F3"/>
            <w:vAlign w:val="center"/>
          </w:tcPr>
          <w:p w14:paraId="116520C3">
            <w:pPr>
              <w:pStyle w:val="8"/>
              <w:keepNext w:val="0"/>
              <w:keepLines w:val="0"/>
              <w:suppressLineNumbers w:val="0"/>
              <w:bidi w:val="0"/>
              <w:spacing w:before="0" w:beforeAutospacing="0" w:after="0" w:afterAutospacing="0" w:line="360" w:lineRule="auto"/>
              <w:ind w:left="0" w:right="0"/>
              <w:jc w:val="left"/>
              <w:rPr>
                <w:rFonts w:hint="default" w:ascii="Arial" w:hAnsi="Arial" w:cs="Arial"/>
                <w:b/>
                <w:bCs/>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bCs/>
                <w:color w:val="404040" w:themeColor="text1" w:themeTint="BF"/>
                <w:sz w:val="21"/>
                <w:szCs w:val="21"/>
                <w:lang w:val="en-US" w:eastAsia="zh-CN"/>
                <w14:textFill>
                  <w14:solidFill>
                    <w14:schemeClr w14:val="tx1">
                      <w14:lumMod w14:val="75000"/>
                      <w14:lumOff w14:val="25000"/>
                    </w14:schemeClr>
                  </w14:solidFill>
                </w14:textFill>
              </w:rPr>
              <w:t>Protection Function</w:t>
            </w:r>
          </w:p>
        </w:tc>
      </w:tr>
      <w:tr w14:paraId="0A818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660D23E2">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 xml:space="preserve">Over-power </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P</w:t>
            </w: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rotection</w:t>
            </w:r>
          </w:p>
        </w:tc>
        <w:tc>
          <w:tcPr>
            <w:tcW w:w="6956"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167C47D2">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eastAsia="宋体" w:cs="Arial"/>
                <w:b w:val="0"/>
                <w:color w:val="404040" w:themeColor="text1" w:themeTint="BF"/>
                <w:sz w:val="21"/>
                <w:szCs w:val="21"/>
                <w:lang w:val="en-US" w:eastAsia="zh-CN" w:bidi="ar-SA"/>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78-97W swing test (Test method: Continuously increase the output current until protection is triggered; Protection mode: swing test; automatically resumes normal operation after the overpower condition is resolved.)</w:t>
            </w:r>
          </w:p>
        </w:tc>
      </w:tr>
      <w:tr w14:paraId="5CB0D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2C193799">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 xml:space="preserve">Over-voltage </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P</w:t>
            </w: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rotection</w:t>
            </w:r>
          </w:p>
        </w:tc>
        <w:tc>
          <w:tcPr>
            <w:tcW w:w="6956"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108807D9">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eastAsia="宋体" w:cs="Arial"/>
                <w:b w:val="0"/>
                <w:color w:val="404040" w:themeColor="text1" w:themeTint="BF"/>
                <w:sz w:val="21"/>
                <w:szCs w:val="21"/>
                <w:lang w:val="en-US" w:eastAsia="zh-CN" w:bidi="ar-SA"/>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1</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8</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24</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V swing test (Short pins 1 and 2 of U8 to trigger the swing test; output returns to normal when the short is removed). Note: Do not apply an external voltage</w:t>
            </w:r>
          </w:p>
        </w:tc>
      </w:tr>
      <w:tr w14:paraId="26FB3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637940D8">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 xml:space="preserve">Over-current </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P</w:t>
            </w: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rotection</w:t>
            </w:r>
          </w:p>
        </w:tc>
        <w:tc>
          <w:tcPr>
            <w:tcW w:w="6956"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33DCC03F">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eastAsia="宋体" w:cs="Arial"/>
                <w:b w:val="0"/>
                <w:color w:val="404040" w:themeColor="text1" w:themeTint="BF"/>
                <w:sz w:val="21"/>
                <w:szCs w:val="21"/>
                <w:lang w:val="en-US" w:eastAsia="zh-CN" w:bidi="ar-SA"/>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6</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.0</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8</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.5A swing test (Test method: Continuously increase the output current until protection is triggered; Protection mode: swing test; the unit automatically resumes normal operation once the overcurrent condition is resolved.)</w:t>
            </w:r>
          </w:p>
        </w:tc>
      </w:tr>
      <w:tr w14:paraId="686EB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7C138A0A">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 xml:space="preserve">Short-circuit </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P</w:t>
            </w: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rotection</w:t>
            </w:r>
          </w:p>
        </w:tc>
        <w:tc>
          <w:tcPr>
            <w:tcW w:w="6956"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329BAD07">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Short-circuit the power supply’s output terminals directly using a copper wire with sufficient cross-sectional area and a length of 15 cm ± 5 cm. The short-circuit may be maintained for an extended period; the unit automatically resumes normal operation once the short-circuit is resolved.</w:t>
            </w:r>
          </w:p>
        </w:tc>
      </w:tr>
      <w:tr w14:paraId="3A96C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7" w:type="dxa"/>
            <w:left w:w="74" w:type="dxa"/>
            <w:bottom w:w="17" w:type="dxa"/>
            <w:right w:w="17" w:type="dxa"/>
          </w:tblCellMar>
        </w:tblPrEx>
        <w:trPr>
          <w:trHeight w:val="23" w:hRule="atLeast"/>
        </w:trPr>
        <w:tc>
          <w:tcPr>
            <w:tcW w:w="9656" w:type="dxa"/>
            <w:gridSpan w:val="2"/>
            <w:tcBorders>
              <w:top w:val="single" w:color="FFFFFF" w:sz="4" w:space="0"/>
              <w:left w:val="single" w:color="FFFFFF" w:sz="4" w:space="0"/>
              <w:bottom w:val="single" w:color="FFFFFF" w:sz="4" w:space="0"/>
              <w:right w:val="single" w:color="FFFFFF" w:sz="4" w:space="0"/>
            </w:tcBorders>
            <w:shd w:val="clear" w:color="auto" w:fill="B3C6E7"/>
            <w:vAlign w:val="center"/>
          </w:tcPr>
          <w:p w14:paraId="0FC81196">
            <w:pPr>
              <w:pStyle w:val="8"/>
              <w:keepNext w:val="0"/>
              <w:keepLines w:val="0"/>
              <w:suppressLineNumbers w:val="0"/>
              <w:bidi w:val="0"/>
              <w:spacing w:before="0" w:beforeAutospacing="0" w:after="0" w:afterAutospacing="0" w:line="360" w:lineRule="auto"/>
              <w:ind w:left="0" w:right="0"/>
              <w:jc w:val="left"/>
              <w:rPr>
                <w:rFonts w:hint="default" w:ascii="Arial" w:hAnsi="Arial" w:cs="Arial"/>
                <w:b/>
                <w:bCs/>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bCs/>
                <w:color w:val="404040" w:themeColor="text1" w:themeTint="BF"/>
                <w:sz w:val="21"/>
                <w:szCs w:val="21"/>
                <w:lang w:val="en-US" w:eastAsia="zh-CN"/>
                <w14:textFill>
                  <w14:solidFill>
                    <w14:schemeClr w14:val="tx1">
                      <w14:lumMod w14:val="75000"/>
                      <w14:lumOff w14:val="25000"/>
                    </w14:schemeClr>
                  </w14:solidFill>
                </w14:textFill>
              </w:rPr>
              <w:t>Operation Environment</w:t>
            </w:r>
          </w:p>
        </w:tc>
      </w:tr>
      <w:tr w14:paraId="12C86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33594B56">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Operation TEMP/ Humidity</w:t>
            </w:r>
          </w:p>
        </w:tc>
        <w:tc>
          <w:tcPr>
            <w:tcW w:w="6956"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6A1FD085">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-40℃~+70℃, 20%-95%RH non-condensing</w:t>
            </w:r>
          </w:p>
        </w:tc>
      </w:tr>
      <w:tr w14:paraId="04D3C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03D32EA0">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Storage TEMP/ Humidity</w:t>
            </w:r>
          </w:p>
        </w:tc>
        <w:tc>
          <w:tcPr>
            <w:tcW w:w="6956"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52D7FC65">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-40℃~+85℃, 10%-95%RH non-condensing</w:t>
            </w:r>
          </w:p>
        </w:tc>
      </w:tr>
      <w:tr w14:paraId="2F1D0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57C74B85">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Temperature Coefficient</w:t>
            </w:r>
          </w:p>
        </w:tc>
        <w:tc>
          <w:tcPr>
            <w:tcW w:w="6956"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03CFCC46">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±0.03%/℃ (0-50℃)</w:t>
            </w:r>
          </w:p>
        </w:tc>
      </w:tr>
      <w:tr w14:paraId="255B3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70755CFD">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Vibration</w:t>
            </w:r>
          </w:p>
        </w:tc>
        <w:tc>
          <w:tcPr>
            <w:tcW w:w="6956"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05C56BB4">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Frequency range: 10–500 Hz, acceleration: 2 G, 10 minutes per sweep cycle, with 6 sweep cycles along each of the X, Y, and Z axes</w:t>
            </w:r>
          </w:p>
        </w:tc>
      </w:tr>
      <w:tr w14:paraId="7038B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1582AB34">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Shock</w:t>
            </w:r>
          </w:p>
        </w:tc>
        <w:tc>
          <w:tcPr>
            <w:tcW w:w="6956"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7B286A02">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Acceleration: 20 G, duration: 11 ms, with 3 shock tests along each of the X, Y, and Z axes</w:t>
            </w:r>
          </w:p>
        </w:tc>
      </w:tr>
      <w:tr w14:paraId="75997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36A13E4B">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Altitude</w:t>
            </w:r>
          </w:p>
        </w:tc>
        <w:tc>
          <w:tcPr>
            <w:tcW w:w="6956"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799E50E1">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5</w:t>
            </w: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000 m</w:t>
            </w:r>
          </w:p>
        </w:tc>
      </w:tr>
      <w:tr w14:paraId="6759B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9656" w:type="dxa"/>
            <w:gridSpan w:val="2"/>
            <w:tcBorders>
              <w:top w:val="single" w:color="FFFFFF" w:sz="4" w:space="0"/>
              <w:left w:val="single" w:color="FFFFFF" w:sz="4" w:space="0"/>
              <w:bottom w:val="single" w:color="FFFFFF" w:sz="4" w:space="0"/>
              <w:right w:val="single" w:color="FFFFFF" w:sz="4" w:space="0"/>
            </w:tcBorders>
            <w:shd w:val="clear" w:color="auto" w:fill="D9E3F3"/>
            <w:vAlign w:val="center"/>
          </w:tcPr>
          <w:p w14:paraId="308CC39E">
            <w:pPr>
              <w:pStyle w:val="8"/>
              <w:keepNext w:val="0"/>
              <w:keepLines w:val="0"/>
              <w:suppressLineNumbers w:val="0"/>
              <w:bidi w:val="0"/>
              <w:spacing w:before="0" w:beforeAutospacing="0" w:after="0" w:afterAutospacing="0" w:line="360" w:lineRule="auto"/>
              <w:ind w:left="0" w:right="0"/>
              <w:jc w:val="left"/>
              <w:rPr>
                <w:rFonts w:hint="default" w:ascii="Arial" w:hAnsi="Arial" w:cs="Arial"/>
                <w:b/>
                <w:bCs/>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bCs/>
                <w:color w:val="404040" w:themeColor="text1" w:themeTint="BF"/>
                <w:sz w:val="21"/>
                <w:szCs w:val="21"/>
                <w:lang w:val="en-US" w:eastAsia="zh-CN"/>
                <w14:textFill>
                  <w14:solidFill>
                    <w14:schemeClr w14:val="tx1">
                      <w14:lumMod w14:val="75000"/>
                      <w14:lumOff w14:val="25000"/>
                    </w14:schemeClr>
                  </w14:solidFill>
                </w14:textFill>
              </w:rPr>
              <w:t>Safety and EMC Standard</w:t>
            </w:r>
          </w:p>
        </w:tc>
      </w:tr>
      <w:tr w14:paraId="53F37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0AB49E40">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Safety Standards</w:t>
            </w:r>
          </w:p>
        </w:tc>
        <w:tc>
          <w:tcPr>
            <w:tcW w:w="6956"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56AB4649">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 xml:space="preserve">EN IEC 62368-1 </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 xml:space="preserve">Reference </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Certification</w:t>
            </w:r>
          </w:p>
        </w:tc>
      </w:tr>
      <w:tr w14:paraId="0CBC6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78F5497C">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Insulation Strength</w:t>
            </w:r>
          </w:p>
        </w:tc>
        <w:tc>
          <w:tcPr>
            <w:tcW w:w="6956"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6E98A251">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Input–Output: 3 kV AC/10 mA; Input–Enclosure: 1.5 kV AC/10 mA; Output–Enclosure: 0.5 kV DC/10 mA. Each test lasts 1 minute</w:t>
            </w:r>
          </w:p>
        </w:tc>
      </w:tr>
      <w:tr w14:paraId="01122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0723B179">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Grounding Test</w:t>
            </w:r>
          </w:p>
        </w:tc>
        <w:tc>
          <w:tcPr>
            <w:tcW w:w="6956"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298A9300">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Test conditions: 32 A for 2 minutes; ground impedance: &lt;0.1 Ω.</w:t>
            </w:r>
          </w:p>
        </w:tc>
      </w:tr>
      <w:tr w14:paraId="1F514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78829C8C">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Leakage Current</w:t>
            </w:r>
          </w:p>
        </w:tc>
        <w:tc>
          <w:tcPr>
            <w:tcW w:w="6956"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67FA520A">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Input to ground ≤3.5 mA; input to output ≤0.25 mA (Input 264 VAC, frequency 63 Hz)</w:t>
            </w:r>
          </w:p>
        </w:tc>
      </w:tr>
      <w:tr w14:paraId="1DCF5F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7B58F309">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Insulation Resistance</w:t>
            </w:r>
          </w:p>
        </w:tc>
        <w:tc>
          <w:tcPr>
            <w:tcW w:w="6956"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3C3A069A">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Input–output: 10 MΩ</w:t>
            </w:r>
          </w:p>
        </w:tc>
      </w:tr>
      <w:tr w14:paraId="24235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9656" w:type="dxa"/>
            <w:gridSpan w:val="2"/>
            <w:tcBorders>
              <w:top w:val="single" w:color="FFFFFF" w:sz="4" w:space="0"/>
              <w:left w:val="single" w:color="FFFFFF" w:sz="4" w:space="0"/>
              <w:bottom w:val="single" w:color="FFFFFF" w:sz="4" w:space="0"/>
              <w:right w:val="single" w:color="FFFFFF" w:sz="4" w:space="0"/>
            </w:tcBorders>
            <w:shd w:val="clear" w:color="auto" w:fill="D9E3F3"/>
            <w:vAlign w:val="center"/>
          </w:tcPr>
          <w:p w14:paraId="230DFE78">
            <w:pPr>
              <w:pStyle w:val="8"/>
              <w:keepNext w:val="0"/>
              <w:keepLines w:val="0"/>
              <w:suppressLineNumbers w:val="0"/>
              <w:bidi w:val="0"/>
              <w:spacing w:before="0" w:beforeAutospacing="0" w:after="0" w:afterAutospacing="0" w:line="360" w:lineRule="auto"/>
              <w:ind w:left="0" w:right="0"/>
              <w:jc w:val="left"/>
              <w:rPr>
                <w:rFonts w:hint="default" w:ascii="Arial" w:hAnsi="Arial" w:cs="Arial"/>
                <w:b/>
                <w:bCs/>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bCs/>
                <w:color w:val="404040" w:themeColor="text1" w:themeTint="BF"/>
                <w:sz w:val="21"/>
                <w:szCs w:val="21"/>
                <w:lang w:val="en-US" w:eastAsia="zh-CN"/>
                <w14:textFill>
                  <w14:solidFill>
                    <w14:schemeClr w14:val="tx1">
                      <w14:lumMod w14:val="75000"/>
                      <w14:lumOff w14:val="25000"/>
                    </w14:schemeClr>
                  </w14:solidFill>
                </w14:textFill>
              </w:rPr>
              <w:t>Electromagnetic Interference (EMI)</w:t>
            </w:r>
          </w:p>
        </w:tc>
      </w:tr>
      <w:tr w14:paraId="05446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1647667D">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Conducted Interference</w:t>
            </w:r>
          </w:p>
        </w:tc>
        <w:tc>
          <w:tcPr>
            <w:tcW w:w="6956"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1D72D1C3">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EN550</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3</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2, FCC Part 15 Class B</w:t>
            </w:r>
          </w:p>
        </w:tc>
      </w:tr>
      <w:tr w14:paraId="27D13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4370F4F0">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Radiated Interference</w:t>
            </w:r>
          </w:p>
        </w:tc>
        <w:tc>
          <w:tcPr>
            <w:tcW w:w="6956"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50518896">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EN550</w:t>
            </w:r>
            <w:r>
              <w:rPr>
                <w:rFonts w:hint="eastAsia"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3</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2, FCC Part 15 Class B</w:t>
            </w:r>
          </w:p>
        </w:tc>
      </w:tr>
      <w:tr w14:paraId="685EC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29D4E13E">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Harmonic Current</w:t>
            </w:r>
          </w:p>
        </w:tc>
        <w:tc>
          <w:tcPr>
            <w:tcW w:w="6956"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0A8FD407">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EN61000-3-2 Class D</w:t>
            </w:r>
          </w:p>
        </w:tc>
      </w:tr>
      <w:tr w14:paraId="65F71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38E2F9AB">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Conducted Immunity</w:t>
            </w:r>
          </w:p>
        </w:tc>
        <w:tc>
          <w:tcPr>
            <w:tcW w:w="6956"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27D0D1A2">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EN61000-4-6 Level 3</w:t>
            </w:r>
          </w:p>
        </w:tc>
      </w:tr>
      <w:tr w14:paraId="19013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6747970A">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Radiated Immunity</w:t>
            </w:r>
          </w:p>
        </w:tc>
        <w:tc>
          <w:tcPr>
            <w:tcW w:w="6956"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5A99E088">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EN61000-4-3 Leve</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 xml:space="preserve">l </w:t>
            </w: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 xml:space="preserve">3 </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Class B</w:t>
            </w:r>
          </w:p>
        </w:tc>
      </w:tr>
      <w:tr w14:paraId="4F01C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23614A86">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Power-Frequency Immunity</w:t>
            </w:r>
          </w:p>
        </w:tc>
        <w:tc>
          <w:tcPr>
            <w:tcW w:w="6956"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71F978F7">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EN61000-4-8 Level</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 xml:space="preserve"> </w:t>
            </w: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3</w:t>
            </w:r>
          </w:p>
        </w:tc>
      </w:tr>
      <w:tr w14:paraId="38C4F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0E98C330">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Electrostatic Immunity</w:t>
            </w:r>
          </w:p>
        </w:tc>
        <w:tc>
          <w:tcPr>
            <w:tcW w:w="6956"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2EF25829">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EN61000-4-2 Level</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 xml:space="preserve"> </w:t>
            </w: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 xml:space="preserve">4 </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Class B</w:t>
            </w:r>
          </w:p>
        </w:tc>
      </w:tr>
      <w:tr w14:paraId="31055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11C55E91">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Fast Pulse Groups</w:t>
            </w:r>
          </w:p>
        </w:tc>
        <w:tc>
          <w:tcPr>
            <w:tcW w:w="6956"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5364A07A">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EN61000-4-4 Level</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 xml:space="preserve"> </w:t>
            </w: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 xml:space="preserve">4 </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Class B</w:t>
            </w:r>
          </w:p>
        </w:tc>
      </w:tr>
      <w:tr w14:paraId="60A2F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2FB137F2">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Lightning Strikes (Surge)</w:t>
            </w:r>
          </w:p>
        </w:tc>
        <w:tc>
          <w:tcPr>
            <w:tcW w:w="6956"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3ADCB235">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EN61000-4-5 Level</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 xml:space="preserve"> </w:t>
            </w: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 xml:space="preserve">4 </w:t>
            </w: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Class B</w:t>
            </w:r>
          </w:p>
        </w:tc>
      </w:tr>
      <w:tr w14:paraId="1200C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097EF4B3">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Interrupts, Dips</w:t>
            </w:r>
          </w:p>
        </w:tc>
        <w:tc>
          <w:tcPr>
            <w:tcW w:w="6956"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012F38F0">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EN61000-4-11</w:t>
            </w:r>
          </w:p>
        </w:tc>
      </w:tr>
      <w:tr w14:paraId="2CB1C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9656" w:type="dxa"/>
            <w:gridSpan w:val="2"/>
            <w:tcBorders>
              <w:top w:val="single" w:color="FFFFFF" w:sz="4" w:space="0"/>
              <w:left w:val="single" w:color="FFFFFF" w:sz="4" w:space="0"/>
              <w:bottom w:val="single" w:color="FFFFFF" w:sz="4" w:space="0"/>
              <w:right w:val="single" w:color="FFFFFF" w:sz="4" w:space="0"/>
            </w:tcBorders>
            <w:shd w:val="clear" w:color="auto" w:fill="B3C6E7"/>
            <w:vAlign w:val="center"/>
          </w:tcPr>
          <w:p w14:paraId="61D0B4C7">
            <w:pPr>
              <w:pStyle w:val="8"/>
              <w:keepNext w:val="0"/>
              <w:keepLines w:val="0"/>
              <w:suppressLineNumbers w:val="0"/>
              <w:bidi w:val="0"/>
              <w:spacing w:before="0" w:beforeAutospacing="0" w:after="0" w:afterAutospacing="0" w:line="360" w:lineRule="auto"/>
              <w:ind w:left="0" w:right="0"/>
              <w:jc w:val="left"/>
              <w:rPr>
                <w:rFonts w:hint="default" w:ascii="Arial" w:hAnsi="Arial" w:cs="Arial"/>
                <w:b/>
                <w:bCs/>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bCs/>
                <w:color w:val="404040" w:themeColor="text1" w:themeTint="BF"/>
                <w:sz w:val="21"/>
                <w:szCs w:val="21"/>
                <w:lang w:val="en-US" w:eastAsia="zh-CN"/>
                <w14:textFill>
                  <w14:solidFill>
                    <w14:schemeClr w14:val="tx1">
                      <w14:lumMod w14:val="75000"/>
                      <w14:lumOff w14:val="25000"/>
                    </w14:schemeClr>
                  </w14:solidFill>
                </w14:textFill>
              </w:rPr>
              <w:t>Others</w:t>
            </w:r>
          </w:p>
        </w:tc>
      </w:tr>
      <w:tr w14:paraId="191B6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0EA2751A">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Dimension</w:t>
            </w:r>
          </w:p>
        </w:tc>
        <w:tc>
          <w:tcPr>
            <w:tcW w:w="6956"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4AECD188">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102.5*93*41mm</w:t>
            </w:r>
          </w:p>
        </w:tc>
      </w:tr>
      <w:tr w14:paraId="21581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788059E2">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Net /Gross Weight</w:t>
            </w:r>
          </w:p>
        </w:tc>
        <w:tc>
          <w:tcPr>
            <w:tcW w:w="6956" w:type="dxa"/>
            <w:tcBorders>
              <w:top w:val="single" w:color="FFFFFF" w:sz="4" w:space="0"/>
              <w:left w:val="single" w:color="FFFFFF" w:sz="4" w:space="0"/>
              <w:bottom w:val="single" w:color="FFFFFF" w:sz="4" w:space="0"/>
              <w:right w:val="single" w:color="FFFFFF" w:sz="4" w:space="0"/>
            </w:tcBorders>
            <w:shd w:val="clear" w:color="auto" w:fill="B3C6E7"/>
            <w:vAlign w:val="center"/>
          </w:tcPr>
          <w:p w14:paraId="57EF4D1B">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0.27kg/ 0.31kg</w:t>
            </w:r>
          </w:p>
        </w:tc>
      </w:tr>
      <w:tr w14:paraId="1DB4A4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7" w:type="dxa"/>
            <w:left w:w="74" w:type="dxa"/>
            <w:bottom w:w="17" w:type="dxa"/>
            <w:right w:w="17" w:type="dxa"/>
          </w:tblCellMar>
        </w:tblPrEx>
        <w:trPr>
          <w:trHeight w:val="23" w:hRule="atLeast"/>
        </w:trPr>
        <w:tc>
          <w:tcPr>
            <w:tcW w:w="2700"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11EEAAFF">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Warranty</w:t>
            </w:r>
          </w:p>
        </w:tc>
        <w:tc>
          <w:tcPr>
            <w:tcW w:w="6956" w:type="dxa"/>
            <w:tcBorders>
              <w:top w:val="single" w:color="FFFFFF" w:sz="4" w:space="0"/>
              <w:left w:val="single" w:color="FFFFFF" w:sz="4" w:space="0"/>
              <w:bottom w:val="single" w:color="FFFFFF" w:sz="4" w:space="0"/>
              <w:right w:val="single" w:color="FFFFFF" w:sz="4" w:space="0"/>
            </w:tcBorders>
            <w:shd w:val="clear" w:color="auto" w:fill="D9E3F3"/>
            <w:vAlign w:val="center"/>
          </w:tcPr>
          <w:p w14:paraId="1888B224">
            <w:pPr>
              <w:pStyle w:val="8"/>
              <w:keepNext w:val="0"/>
              <w:keepLines w:val="0"/>
              <w:suppressLineNumbers w:val="0"/>
              <w:bidi w:val="0"/>
              <w:spacing w:before="0" w:beforeAutospacing="0" w:after="0" w:afterAutospacing="0" w:line="360" w:lineRule="auto"/>
              <w:ind w:left="0" w:right="0"/>
              <w:jc w:val="left"/>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lang w:val="en-US" w:eastAsia="zh-CN"/>
                <w14:textFill>
                  <w14:solidFill>
                    <w14:schemeClr w14:val="tx1">
                      <w14:lumMod w14:val="75000"/>
                      <w14:lumOff w14:val="25000"/>
                    </w14:schemeClr>
                  </w14:solidFill>
                </w14:textFill>
              </w:rPr>
              <w:t>5 years, lifelong maintenance</w:t>
            </w:r>
          </w:p>
        </w:tc>
      </w:tr>
    </w:tbl>
    <w:p w14:paraId="0389C5DC">
      <w:pPr>
        <w:pStyle w:val="8"/>
        <w:bidi w:val="0"/>
      </w:pPr>
    </w:p>
    <w:p w14:paraId="1304DB8E">
      <w:pPr>
        <w:pStyle w:val="8"/>
        <w:keepNext w:val="0"/>
        <w:keepLines w:val="0"/>
        <w:suppressLineNumbers w:val="0"/>
        <w:bidi w:val="0"/>
        <w:spacing w:before="0" w:beforeAutospacing="0" w:after="0" w:afterAutospacing="0" w:line="360" w:lineRule="auto"/>
        <w:ind w:left="0" w:leftChars="0" w:right="0" w:rightChars="0"/>
        <w:jc w:val="left"/>
        <w:rPr>
          <w:rFonts w:hint="default" w:ascii="Arial" w:hAnsi="Arial" w:cs="Arial"/>
          <w:b/>
          <w:bCs/>
          <w:color w:val="404040" w:themeColor="text1" w:themeTint="BF"/>
          <w:sz w:val="21"/>
          <w:szCs w:val="21"/>
          <w14:textFill>
            <w14:solidFill>
              <w14:schemeClr w14:val="tx1">
                <w14:lumMod w14:val="75000"/>
                <w14:lumOff w14:val="25000"/>
              </w14:schemeClr>
            </w14:solidFill>
          </w14:textFill>
        </w:rPr>
      </w:pPr>
      <w:r>
        <w:rPr>
          <w:rFonts w:hint="default" w:ascii="Arial" w:hAnsi="Arial" w:cs="Arial"/>
          <w:b/>
          <w:bCs/>
          <w:color w:val="404040" w:themeColor="text1" w:themeTint="BF"/>
          <w:sz w:val="21"/>
          <w:szCs w:val="21"/>
          <w14:textFill>
            <w14:solidFill>
              <w14:schemeClr w14:val="tx1">
                <w14:lumMod w14:val="75000"/>
                <w14:lumOff w14:val="25000"/>
              </w14:schemeClr>
            </w14:solidFill>
          </w14:textFill>
        </w:rPr>
        <w:t>Notes:</w:t>
      </w:r>
    </w:p>
    <w:p w14:paraId="3D7F0203">
      <w:pPr>
        <w:pStyle w:val="8"/>
        <w:keepNext w:val="0"/>
        <w:keepLines w:val="0"/>
        <w:numPr>
          <w:ilvl w:val="0"/>
          <w:numId w:val="2"/>
        </w:numPr>
        <w:suppressLineNumbers w:val="0"/>
        <w:bidi w:val="0"/>
        <w:spacing w:before="0" w:beforeAutospacing="0" w:after="0" w:afterAutospacing="0" w:line="360" w:lineRule="auto"/>
        <w:ind w:left="425" w:leftChars="0" w:right="0" w:rightChars="0" w:hanging="425" w:firstLineChars="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All specifications and parameters were measured at an input of 230 VAC, rated load, and an ambient temperature of 25°C.</w:t>
      </w:r>
    </w:p>
    <w:p w14:paraId="11BB41AB">
      <w:pPr>
        <w:pStyle w:val="8"/>
        <w:keepNext w:val="0"/>
        <w:keepLines w:val="0"/>
        <w:numPr>
          <w:ilvl w:val="0"/>
          <w:numId w:val="2"/>
        </w:numPr>
        <w:suppressLineNumbers w:val="0"/>
        <w:bidi w:val="0"/>
        <w:spacing w:before="0" w:beforeAutospacing="0" w:after="0" w:afterAutospacing="0" w:line="360" w:lineRule="auto"/>
        <w:ind w:left="425" w:leftChars="0" w:right="0" w:rightChars="0" w:hanging="425" w:firstLineChars="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Ripple and noise measurement method: Use a 12' twisted-pair cable with 0.1 μF and 47 μF capacitors connected in parallel at the terminals; measurements were taken at a bandwidth of 20 MHz.</w:t>
      </w:r>
    </w:p>
    <w:p w14:paraId="51074695">
      <w:pPr>
        <w:pStyle w:val="8"/>
        <w:keepNext w:val="0"/>
        <w:keepLines w:val="0"/>
        <w:numPr>
          <w:ilvl w:val="0"/>
          <w:numId w:val="2"/>
        </w:numPr>
        <w:suppressLineNumbers w:val="0"/>
        <w:bidi w:val="0"/>
        <w:spacing w:before="0" w:beforeAutospacing="0" w:after="0" w:afterAutospacing="0" w:line="360" w:lineRule="auto"/>
        <w:ind w:left="425" w:leftChars="0" w:right="0" w:rightChars="0" w:hanging="425" w:firstLineChars="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Accuracy: Includes setting error, linear regulation, and load regulation.</w:t>
      </w:r>
    </w:p>
    <w:p w14:paraId="3D5B2BFF">
      <w:pPr>
        <w:pStyle w:val="8"/>
        <w:keepNext w:val="0"/>
        <w:keepLines w:val="0"/>
        <w:numPr>
          <w:ilvl w:val="0"/>
          <w:numId w:val="2"/>
        </w:numPr>
        <w:suppressLineNumbers w:val="0"/>
        <w:bidi w:val="0"/>
        <w:spacing w:before="0" w:beforeAutospacing="0" w:after="0" w:afterAutospacing="0" w:line="360" w:lineRule="auto"/>
        <w:ind w:left="425" w:leftChars="0" w:right="0" w:rightChars="0" w:hanging="425" w:firstLineChars="0"/>
        <w:jc w:val="left"/>
        <w:rPr>
          <w:rFonts w:hint="default" w:ascii="Arial" w:hAnsi="Arial" w:cs="Arial"/>
          <w:b w:val="0"/>
          <w:color w:val="404040" w:themeColor="text1" w:themeTint="BF"/>
          <w:sz w:val="21"/>
          <w:szCs w:val="21"/>
          <w14:textFill>
            <w14:solidFill>
              <w14:schemeClr w14:val="tx1">
                <w14:lumMod w14:val="75000"/>
                <w14:lumOff w14:val="25000"/>
              </w14:schemeClr>
            </w14:solidFill>
          </w14:textFill>
        </w:rPr>
      </w:pPr>
      <w:r>
        <w:rPr>
          <w:rFonts w:hint="default" w:ascii="Arial" w:hAnsi="Arial" w:cs="Arial"/>
          <w:b w:val="0"/>
          <w:color w:val="404040" w:themeColor="text1" w:themeTint="BF"/>
          <w:sz w:val="21"/>
          <w:szCs w:val="21"/>
          <w14:textFill>
            <w14:solidFill>
              <w14:schemeClr w14:val="tx1">
                <w14:lumMod w14:val="75000"/>
                <w14:lumOff w14:val="25000"/>
              </w14:schemeClr>
            </w14:solidFill>
          </w14:textFill>
        </w:rPr>
        <w:t>The power supply should be considered part of the system. Electromagnetic compatibility verification must be performed in conjunction with the terminal equipment.</w:t>
      </w:r>
    </w:p>
    <w:p w14:paraId="71F6A8C1">
      <w:pPr>
        <w:pStyle w:val="8"/>
        <w:bidi w:val="0"/>
      </w:pPr>
    </w:p>
    <w:p w14:paraId="75617184">
      <w:pPr>
        <w:spacing w:line="360" w:lineRule="auto"/>
        <w:jc w:val="left"/>
        <w:rPr>
          <w:rFonts w:hint="default" w:ascii="Arial" w:hAnsi="Arial" w:cs="Arial"/>
          <w:b/>
          <w:color w:val="548235" w:themeColor="accent6" w:themeShade="BF"/>
          <w:sz w:val="32"/>
          <w:szCs w:val="32"/>
          <w:lang w:val="en-US" w:eastAsia="zh-CN"/>
        </w:rPr>
      </w:pPr>
    </w:p>
    <w:p w14:paraId="1EE1C618">
      <w:pPr>
        <w:spacing w:line="360" w:lineRule="auto"/>
        <w:jc w:val="left"/>
        <w:rPr>
          <w:rFonts w:hint="default" w:ascii="Arial" w:hAnsi="Arial" w:cs="Arial"/>
          <w:b/>
          <w:color w:val="548235" w:themeColor="accent6" w:themeShade="BF"/>
          <w:sz w:val="32"/>
          <w:szCs w:val="32"/>
          <w:lang w:val="en-US" w:eastAsia="zh-CN"/>
        </w:rPr>
      </w:pPr>
    </w:p>
    <w:p w14:paraId="68A33AED">
      <w:pPr>
        <w:spacing w:line="360" w:lineRule="auto"/>
        <w:jc w:val="left"/>
        <w:rPr>
          <w:rFonts w:hint="default" w:ascii="Arial" w:hAnsi="Arial" w:cs="Arial"/>
          <w:b/>
          <w:color w:val="548235" w:themeColor="accent6" w:themeShade="BF"/>
          <w:sz w:val="32"/>
          <w:szCs w:val="32"/>
          <w:lang w:val="en-US" w:eastAsia="zh-CN"/>
        </w:rPr>
      </w:pPr>
    </w:p>
    <w:p w14:paraId="63CF2CF0">
      <w:pPr>
        <w:spacing w:line="360" w:lineRule="auto"/>
        <w:jc w:val="left"/>
        <w:rPr>
          <w:rFonts w:hint="default" w:ascii="Arial" w:hAnsi="Arial" w:cs="Arial"/>
          <w:b/>
          <w:color w:val="548235" w:themeColor="accent6" w:themeShade="BF"/>
          <w:sz w:val="32"/>
          <w:szCs w:val="32"/>
          <w:lang w:val="en-US" w:eastAsia="zh-CN"/>
        </w:rPr>
      </w:pPr>
    </w:p>
    <w:p w14:paraId="65D0467B">
      <w:pPr>
        <w:spacing w:line="360" w:lineRule="auto"/>
        <w:jc w:val="left"/>
        <w:rPr>
          <w:rFonts w:hint="default" w:ascii="Arial" w:hAnsi="Arial" w:cs="Arial"/>
          <w:b/>
          <w:color w:val="548235" w:themeColor="accent6" w:themeShade="BF"/>
          <w:sz w:val="32"/>
          <w:szCs w:val="32"/>
          <w:lang w:val="en-US" w:eastAsia="zh-CN"/>
        </w:rPr>
      </w:pPr>
      <w:r>
        <w:rPr>
          <w:rFonts w:hint="default" w:ascii="Arial" w:hAnsi="Arial" w:cs="Arial"/>
          <w:b/>
          <w:color w:val="548235" w:themeColor="accent6" w:themeShade="BF"/>
          <w:sz w:val="32"/>
          <w:szCs w:val="32"/>
          <w:lang w:val="en-US" w:eastAsia="zh-CN"/>
        </w:rPr>
        <w:t>DIMENSION</w:t>
      </w:r>
    </w:p>
    <w:p w14:paraId="4B72EBEE">
      <w:pPr>
        <w:pStyle w:val="8"/>
        <w:bidi w:val="0"/>
        <w:rPr>
          <w:rFonts w:hint="default"/>
          <w:lang w:val="en-US" w:eastAsia="zh-CN"/>
        </w:rPr>
      </w:pPr>
    </w:p>
    <w:p w14:paraId="43F50237">
      <w:pPr>
        <w:pStyle w:val="8"/>
        <w:bidi w:val="0"/>
      </w:pPr>
      <w:r>
        <w:rPr>
          <w:rFonts w:hint="eastAsia"/>
          <w:lang w:val="en-US" w:eastAsia="zh-CN"/>
        </w:rPr>
        <w:drawing>
          <wp:inline distT="0" distB="0" distL="114300" distR="114300">
            <wp:extent cx="5918835" cy="3549650"/>
            <wp:effectExtent l="0" t="0" r="5715" b="12700"/>
            <wp:docPr id="9" name="图片 9" descr="外观尺寸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外观尺寸图"/>
                    <pic:cNvPicPr>
                      <a:picLocks noChangeAspect="1"/>
                    </pic:cNvPicPr>
                  </pic:nvPicPr>
                  <pic:blipFill>
                    <a:blip r:embed="rId8"/>
                    <a:stretch>
                      <a:fillRect/>
                    </a:stretch>
                  </pic:blipFill>
                  <pic:spPr>
                    <a:xfrm>
                      <a:off x="0" y="0"/>
                      <a:ext cx="5918835" cy="3549650"/>
                    </a:xfrm>
                    <a:prstGeom prst="rect">
                      <a:avLst/>
                    </a:prstGeom>
                  </pic:spPr>
                </pic:pic>
              </a:graphicData>
            </a:graphic>
          </wp:inline>
        </w:drawing>
      </w:r>
      <w:bookmarkStart w:id="0" w:name="_GoBack"/>
      <w:bookmarkEnd w:id="0"/>
    </w:p>
    <w:sectPr>
      <w:headerReference r:id="rId3" w:type="default"/>
      <w:footerReference r:id="rId5" w:type="default"/>
      <w:headerReference r:id="rId4" w:type="even"/>
      <w:pgSz w:w="11906" w:h="16838"/>
      <w:pgMar w:top="1440" w:right="1440" w:bottom="1440" w:left="1440" w:header="850" w:footer="850" w:gutter="0"/>
      <w:pgBorders w:offsetFrom="page">
        <w:top w:val="none" w:sz="0" w:space="0"/>
        <w:left w:val="none" w:sz="0" w:space="0"/>
        <w:bottom w:val="none" w:sz="0" w:space="0"/>
        <w:right w:val="none" w:sz="0" w:space="0"/>
      </w:pgBorders>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23AD9">
    <w:pPr>
      <w:pStyle w:val="2"/>
      <w:tabs>
        <w:tab w:val="center" w:pos="4513"/>
        <w:tab w:val="right" w:pos="9146"/>
      </w:tabs>
      <w:jc w:val="left"/>
      <w:rPr>
        <w:rFonts w:hint="eastAsia" w:eastAsia="宋体"/>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posOffset>2785745</wp:posOffset>
              </wp:positionH>
              <wp:positionV relativeFrom="paragraph">
                <wp:posOffset>-66675</wp:posOffset>
              </wp:positionV>
              <wp:extent cx="244475" cy="2413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244475" cy="241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726D28">
                          <w:pPr>
                            <w:pStyle w:val="2"/>
                            <w:jc w:val="center"/>
                            <w:rPr>
                              <w:rFonts w:hint="default" w:ascii="Arial" w:hAnsi="Arial" w:cs="Arial"/>
                              <w:b/>
                              <w:bCs/>
                              <w:sz w:val="20"/>
                              <w:szCs w:val="20"/>
                            </w:rPr>
                          </w:pPr>
                          <w:r>
                            <w:rPr>
                              <w:rFonts w:hint="default" w:ascii="Arial" w:hAnsi="Arial" w:cs="Arial"/>
                              <w:b/>
                              <w:bCs/>
                              <w:sz w:val="20"/>
                              <w:szCs w:val="20"/>
                            </w:rPr>
                            <w:fldChar w:fldCharType="begin"/>
                          </w:r>
                          <w:r>
                            <w:rPr>
                              <w:rFonts w:hint="default" w:ascii="Arial" w:hAnsi="Arial" w:cs="Arial"/>
                              <w:b/>
                              <w:bCs/>
                              <w:sz w:val="20"/>
                              <w:szCs w:val="20"/>
                            </w:rPr>
                            <w:instrText xml:space="preserve"> PAGE  \* MERGEFORMAT </w:instrText>
                          </w:r>
                          <w:r>
                            <w:rPr>
                              <w:rFonts w:hint="default" w:ascii="Arial" w:hAnsi="Arial" w:cs="Arial"/>
                              <w:b/>
                              <w:bCs/>
                              <w:sz w:val="20"/>
                              <w:szCs w:val="20"/>
                            </w:rPr>
                            <w:fldChar w:fldCharType="separate"/>
                          </w:r>
                          <w:r>
                            <w:rPr>
                              <w:rFonts w:hint="default" w:ascii="Arial" w:hAnsi="Arial" w:cs="Arial"/>
                              <w:b/>
                              <w:bCs/>
                              <w:sz w:val="20"/>
                              <w:szCs w:val="20"/>
                            </w:rPr>
                            <w:t>1</w:t>
                          </w:r>
                          <w:r>
                            <w:rPr>
                              <w:rFonts w:hint="default" w:ascii="Arial" w:hAnsi="Arial" w:cs="Arial"/>
                              <w:b/>
                              <w:bCs/>
                              <w:sz w:val="20"/>
                              <w:szCs w:val="20"/>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19.35pt;margin-top:-5.25pt;height:19pt;width:19.25pt;mso-position-horizontal-relative:margin;z-index:251660288;mso-width-relative:page;mso-height-relative:page;" filled="f" stroked="f" coordsize="21600,21600" o:gfxdata="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j5HiZ2gAAAAoBAAAPAAAAAAAAAAEAIAAAACIAAABkcnMvZG93&#10;bnJldi54bWxQSwECFAAUAAAACACHTuJA665VRjcCAABhBAAADgAAAAAAAAABACAAAAApAQAAZHJz&#10;L2Uyb0RvYy54bWxQSwUGAAAAAAYABgBZAQAA0gUAAAAA&#10;">
              <v:fill on="f" focussize="0,0"/>
              <v:stroke on="f" weight="0.5pt"/>
              <v:imagedata o:title=""/>
              <o:lock v:ext="edit" aspectratio="f"/>
              <v:textbox inset="0mm,0mm,0mm,0mm">
                <w:txbxContent>
                  <w:p w14:paraId="5A726D28">
                    <w:pPr>
                      <w:pStyle w:val="2"/>
                      <w:jc w:val="center"/>
                      <w:rPr>
                        <w:rFonts w:hint="default" w:ascii="Arial" w:hAnsi="Arial" w:cs="Arial"/>
                        <w:b/>
                        <w:bCs/>
                        <w:sz w:val="20"/>
                        <w:szCs w:val="20"/>
                      </w:rPr>
                    </w:pPr>
                    <w:r>
                      <w:rPr>
                        <w:rFonts w:hint="default" w:ascii="Arial" w:hAnsi="Arial" w:cs="Arial"/>
                        <w:b/>
                        <w:bCs/>
                        <w:sz w:val="20"/>
                        <w:szCs w:val="20"/>
                      </w:rPr>
                      <w:fldChar w:fldCharType="begin"/>
                    </w:r>
                    <w:r>
                      <w:rPr>
                        <w:rFonts w:hint="default" w:ascii="Arial" w:hAnsi="Arial" w:cs="Arial"/>
                        <w:b/>
                        <w:bCs/>
                        <w:sz w:val="20"/>
                        <w:szCs w:val="20"/>
                      </w:rPr>
                      <w:instrText xml:space="preserve"> PAGE  \* MERGEFORMAT </w:instrText>
                    </w:r>
                    <w:r>
                      <w:rPr>
                        <w:rFonts w:hint="default" w:ascii="Arial" w:hAnsi="Arial" w:cs="Arial"/>
                        <w:b/>
                        <w:bCs/>
                        <w:sz w:val="20"/>
                        <w:szCs w:val="20"/>
                      </w:rPr>
                      <w:fldChar w:fldCharType="separate"/>
                    </w:r>
                    <w:r>
                      <w:rPr>
                        <w:rFonts w:hint="default" w:ascii="Arial" w:hAnsi="Arial" w:cs="Arial"/>
                        <w:b/>
                        <w:bCs/>
                        <w:sz w:val="20"/>
                        <w:szCs w:val="20"/>
                      </w:rPr>
                      <w:t>1</w:t>
                    </w:r>
                    <w:r>
                      <w:rPr>
                        <w:rFonts w:hint="default" w:ascii="Arial" w:hAnsi="Arial" w:cs="Arial"/>
                        <w:b/>
                        <w:bCs/>
                        <w:sz w:val="20"/>
                        <w:szCs w:val="20"/>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D8FBB3">
                          <w:pPr>
                            <w:pStyle w:val="2"/>
                            <w:tabs>
                              <w:tab w:val="center" w:pos="4513"/>
                              <w:tab w:val="right" w:pos="9146"/>
                            </w:tabs>
                            <w:jc w:val="left"/>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5D8FBB3">
                    <w:pPr>
                      <w:pStyle w:val="2"/>
                      <w:tabs>
                        <w:tab w:val="center" w:pos="4513"/>
                        <w:tab w:val="right" w:pos="9146"/>
                      </w:tabs>
                      <w:jc w:val="left"/>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C6853">
    <w:pPr>
      <w:pStyle w:val="8"/>
      <w:bidi w:val="0"/>
      <w:jc w:val="right"/>
      <w:rPr>
        <w:rFonts w:hint="default"/>
        <w:lang w:eastAsia="zh-CN"/>
      </w:rPr>
    </w:pPr>
    <w:r>
      <mc:AlternateContent>
        <mc:Choice Requires="wpg">
          <w:drawing>
            <wp:anchor distT="0" distB="0" distL="114300" distR="114300" simplePos="0" relativeHeight="251661312" behindDoc="0" locked="0" layoutInCell="1" allowOverlap="1">
              <wp:simplePos x="0" y="0"/>
              <wp:positionH relativeFrom="column">
                <wp:posOffset>-914400</wp:posOffset>
              </wp:positionH>
              <wp:positionV relativeFrom="paragraph">
                <wp:posOffset>-2250440</wp:posOffset>
              </wp:positionV>
              <wp:extent cx="410210" cy="12402185"/>
              <wp:effectExtent l="5080" t="4445" r="22860" b="13970"/>
              <wp:wrapNone/>
              <wp:docPr id="1" name="组合 1"/>
              <wp:cNvGraphicFramePr/>
              <a:graphic xmlns:a="http://schemas.openxmlformats.org/drawingml/2006/main">
                <a:graphicData uri="http://schemas.microsoft.com/office/word/2010/wordprocessingGroup">
                  <wpg:wgp>
                    <wpg:cNvGrpSpPr/>
                    <wpg:grpSpPr>
                      <a:xfrm>
                        <a:off x="0" y="0"/>
                        <a:ext cx="410210" cy="12402185"/>
                        <a:chOff x="-76" y="-646"/>
                        <a:chExt cx="646" cy="19531"/>
                      </a:xfrm>
                    </wpg:grpSpPr>
                    <wps:wsp>
                      <wps:cNvPr id="13" name="矩形 7"/>
                      <wps:cNvSpPr/>
                      <wps:spPr>
                        <a:xfrm>
                          <a:off x="-75" y="-646"/>
                          <a:ext cx="645" cy="5956"/>
                        </a:xfrm>
                        <a:prstGeom prst="rect">
                          <a:avLst/>
                        </a:prstGeom>
                        <a:solidFill>
                          <a:srgbClr val="FF9900"/>
                        </a:solidFill>
                        <a:ln w="9525" cap="flat" cmpd="sng">
                          <a:solidFill>
                            <a:srgbClr val="FF9900"/>
                          </a:solidFill>
                          <a:prstDash val="solid"/>
                          <a:miter/>
                          <a:headEnd type="none" w="med" len="med"/>
                          <a:tailEnd type="none" w="med" len="med"/>
                        </a:ln>
                      </wps:spPr>
                      <wps:bodyPr upright="1"/>
                    </wps:wsp>
                    <wps:wsp>
                      <wps:cNvPr id="14" name="矩形 8"/>
                      <wps:cNvSpPr/>
                      <wps:spPr>
                        <a:xfrm>
                          <a:off x="-76" y="4740"/>
                          <a:ext cx="646" cy="14145"/>
                        </a:xfrm>
                        <a:prstGeom prst="rect">
                          <a:avLst/>
                        </a:prstGeom>
                        <a:solidFill>
                          <a:srgbClr val="000099"/>
                        </a:solidFill>
                        <a:ln w="9525" cap="flat" cmpd="sng">
                          <a:solidFill>
                            <a:srgbClr val="000099"/>
                          </a:solidFill>
                          <a:prstDash val="solid"/>
                          <a:miter/>
                          <a:headEnd type="none" w="med" len="med"/>
                          <a:tailEnd type="none" w="med" len="med"/>
                        </a:ln>
                      </wps:spPr>
                      <wps:bodyPr upright="1"/>
                    </wps:wsp>
                  </wpg:wgp>
                </a:graphicData>
              </a:graphic>
            </wp:anchor>
          </w:drawing>
        </mc:Choice>
        <mc:Fallback>
          <w:pict>
            <v:group id="_x0000_s1026" o:spid="_x0000_s1026" o:spt="203" style="position:absolute;left:0pt;margin-left:-72pt;margin-top:-177.2pt;height:976.55pt;width:32.3pt;z-index:251661312;mso-width-relative:page;mso-height-relative:page;" coordorigin="-76,-646" coordsize="646,19531" o:gfxdata="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AAAAA&#10;ZHJzL1BLAQIUABQAAAAIAIdO4kB/e74k3QAAAA4BAAAPAAAAAAAAAAEAIAAAACIAAABkcnMvZG93&#10;bnJldi54bWxQSwECFAAUAAAACACHTuJA6qlP3aYCAACPBwAADgAAAAAAAAABACAAAAAsAQAAZHJz&#10;L2Uyb0RvYy54bWxQSwUGAAAAAAYABgBZAQAARAYAAAAA&#10;">
              <o:lock v:ext="edit" aspectratio="f"/>
              <v:rect id="矩形 7" o:spid="_x0000_s1026" o:spt="1" style="position:absolute;left:-75;top:-646;height:5956;width:645;" fillcolor="#FF9900" filled="t" stroked="t" coordsize="21600,21600" o:gfxdata="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V0+4UugAAANsA&#10;AAAPAAAAAAAAAAEAIAAAACIAAABkcnMvZG93bnJldi54bWxQSwECFAAUAAAACACHTuJAMy8FnjsA&#10;AAA5AAAAEAAAAAAAAAABACAAAAAJAQAAZHJzL3NoYXBleG1sLnhtbFBLBQYAAAAABgAGAFsBAACz&#10;AwAAAAA=&#10;">
                <v:fill on="t" focussize="0,0"/>
                <v:stroke color="#FF9900" joinstyle="miter"/>
                <v:imagedata o:title=""/>
                <o:lock v:ext="edit" aspectratio="f"/>
              </v:rect>
              <v:rect id="矩形 8" o:spid="_x0000_s1026" o:spt="1" style="position:absolute;left:-76;top:4740;height:14145;width:646;" fillcolor="#000099" filled="t" stroked="t" coordsize="21600,21600" o:gfxdata="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K4GvvQAA&#10;ANsAAAAPAAAAAAAAAAEAIAAAACIAAABkcnMvZG93bnJldi54bWxQSwECFAAUAAAACACHTuJAMy8F&#10;njsAAAA5AAAAEAAAAAAAAAABACAAAAAMAQAAZHJzL3NoYXBleG1sLnhtbFBLBQYAAAAABgAGAFsB&#10;AAC2AwAAAAA=&#10;">
                <v:fill on="t" focussize="0,0"/>
                <v:stroke color="#000099" joinstyle="miter"/>
                <v:imagedata o:title=""/>
                <o:lock v:ext="edit" aspectratio="f"/>
              </v:rect>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0CC4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25D834"/>
    <w:multiLevelType w:val="singleLevel"/>
    <w:tmpl w:val="0C25D834"/>
    <w:lvl w:ilvl="0" w:tentative="0">
      <w:start w:val="1"/>
      <w:numFmt w:val="decimal"/>
      <w:lvlText w:val="%1."/>
      <w:lvlJc w:val="left"/>
      <w:pPr>
        <w:tabs>
          <w:tab w:val="left" w:pos="0"/>
        </w:tabs>
        <w:ind w:left="425" w:hanging="425"/>
      </w:pPr>
      <w:rPr>
        <w:rFonts w:hint="default"/>
      </w:rPr>
    </w:lvl>
  </w:abstractNum>
  <w:abstractNum w:abstractNumId="1">
    <w:nsid w:val="3C3159A4"/>
    <w:multiLevelType w:val="multilevel"/>
    <w:tmpl w:val="3C3159A4"/>
    <w:lvl w:ilvl="0" w:tentative="0">
      <w:start w:val="1"/>
      <w:numFmt w:val="bullet"/>
      <w:lvlText w:val="◇"/>
      <w:lvlJc w:val="left"/>
      <w:pPr>
        <w:tabs>
          <w:tab w:val="left" w:pos="0"/>
        </w:tabs>
        <w:ind w:left="360" w:hanging="360"/>
      </w:pPr>
      <w:rPr>
        <w:rFonts w:hint="eastAsia" w:ascii="宋体" w:hAnsi="宋体" w:eastAsia="宋体" w:cs="Times New Roman"/>
      </w:rPr>
    </w:lvl>
    <w:lvl w:ilvl="1" w:tentative="0">
      <w:start w:val="1"/>
      <w:numFmt w:val="bullet"/>
      <w:lvlText w:val=""/>
      <w:lvlJc w:val="left"/>
      <w:pPr>
        <w:tabs>
          <w:tab w:val="left" w:pos="0"/>
        </w:tabs>
        <w:ind w:left="840" w:hanging="420"/>
      </w:pPr>
      <w:rPr>
        <w:rFonts w:hint="default" w:ascii="Wingdings" w:hAnsi="Wingdings"/>
      </w:rPr>
    </w:lvl>
    <w:lvl w:ilvl="2" w:tentative="0">
      <w:start w:val="1"/>
      <w:numFmt w:val="bullet"/>
      <w:lvlText w:val=""/>
      <w:lvlJc w:val="left"/>
      <w:pPr>
        <w:tabs>
          <w:tab w:val="left" w:pos="0"/>
        </w:tabs>
        <w:ind w:left="1260" w:hanging="420"/>
      </w:pPr>
      <w:rPr>
        <w:rFonts w:hint="default" w:ascii="Wingdings" w:hAnsi="Wingdings"/>
      </w:rPr>
    </w:lvl>
    <w:lvl w:ilvl="3" w:tentative="0">
      <w:start w:val="1"/>
      <w:numFmt w:val="bullet"/>
      <w:lvlText w:val=""/>
      <w:lvlJc w:val="left"/>
      <w:pPr>
        <w:tabs>
          <w:tab w:val="left" w:pos="0"/>
        </w:tabs>
        <w:ind w:left="1680" w:hanging="420"/>
      </w:pPr>
      <w:rPr>
        <w:rFonts w:hint="default" w:ascii="Wingdings" w:hAnsi="Wingdings"/>
      </w:rPr>
    </w:lvl>
    <w:lvl w:ilvl="4" w:tentative="0">
      <w:start w:val="1"/>
      <w:numFmt w:val="bullet"/>
      <w:lvlText w:val=""/>
      <w:lvlJc w:val="left"/>
      <w:pPr>
        <w:tabs>
          <w:tab w:val="left" w:pos="0"/>
        </w:tabs>
        <w:ind w:left="2100" w:hanging="420"/>
      </w:pPr>
      <w:rPr>
        <w:rFonts w:hint="default" w:ascii="Wingdings" w:hAnsi="Wingdings"/>
      </w:rPr>
    </w:lvl>
    <w:lvl w:ilvl="5" w:tentative="0">
      <w:start w:val="1"/>
      <w:numFmt w:val="bullet"/>
      <w:lvlText w:val=""/>
      <w:lvlJc w:val="left"/>
      <w:pPr>
        <w:tabs>
          <w:tab w:val="left" w:pos="0"/>
        </w:tabs>
        <w:ind w:left="2520" w:hanging="420"/>
      </w:pPr>
      <w:rPr>
        <w:rFonts w:hint="default" w:ascii="Wingdings" w:hAnsi="Wingdings"/>
      </w:rPr>
    </w:lvl>
    <w:lvl w:ilvl="6" w:tentative="0">
      <w:start w:val="1"/>
      <w:numFmt w:val="bullet"/>
      <w:lvlText w:val=""/>
      <w:lvlJc w:val="left"/>
      <w:pPr>
        <w:tabs>
          <w:tab w:val="left" w:pos="0"/>
        </w:tabs>
        <w:ind w:left="2940" w:hanging="420"/>
      </w:pPr>
      <w:rPr>
        <w:rFonts w:hint="default" w:ascii="Wingdings" w:hAnsi="Wingdings"/>
      </w:rPr>
    </w:lvl>
    <w:lvl w:ilvl="7" w:tentative="0">
      <w:start w:val="1"/>
      <w:numFmt w:val="bullet"/>
      <w:lvlText w:val=""/>
      <w:lvlJc w:val="left"/>
      <w:pPr>
        <w:tabs>
          <w:tab w:val="left" w:pos="0"/>
        </w:tabs>
        <w:ind w:left="3360" w:hanging="420"/>
      </w:pPr>
      <w:rPr>
        <w:rFonts w:hint="default" w:ascii="Wingdings" w:hAnsi="Wingdings"/>
      </w:rPr>
    </w:lvl>
    <w:lvl w:ilvl="8" w:tentative="0">
      <w:start w:val="1"/>
      <w:numFmt w:val="bullet"/>
      <w:lvlText w:val=""/>
      <w:lvlJc w:val="left"/>
      <w:pPr>
        <w:tabs>
          <w:tab w:val="left" w:pos="0"/>
        </w:tabs>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ZhYmZlNTI1Yzk4YTBlMjRhOGIzNmU5ZTkyZWZkZTUifQ=="/>
  </w:docVars>
  <w:rsids>
    <w:rsidRoot w:val="5CAD76DA"/>
    <w:rsid w:val="05103A50"/>
    <w:rsid w:val="11AF28DB"/>
    <w:rsid w:val="172577D0"/>
    <w:rsid w:val="190B4B64"/>
    <w:rsid w:val="1DDA6E3B"/>
    <w:rsid w:val="20AC0A99"/>
    <w:rsid w:val="237D2742"/>
    <w:rsid w:val="262275D1"/>
    <w:rsid w:val="26CB1A16"/>
    <w:rsid w:val="275B0C55"/>
    <w:rsid w:val="2BBF4C98"/>
    <w:rsid w:val="409374DB"/>
    <w:rsid w:val="414D154E"/>
    <w:rsid w:val="46472A10"/>
    <w:rsid w:val="4BA44460"/>
    <w:rsid w:val="4EFD63D3"/>
    <w:rsid w:val="581E7AA1"/>
    <w:rsid w:val="5CAD76DA"/>
    <w:rsid w:val="604218A9"/>
    <w:rsid w:val="639F3072"/>
    <w:rsid w:val="691C29A3"/>
    <w:rsid w:val="6BAD6A52"/>
    <w:rsid w:val="6CE34991"/>
    <w:rsid w:val="6D535020"/>
    <w:rsid w:val="6DFF659E"/>
    <w:rsid w:val="7AAD65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autoRedefin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szCs w:val="18"/>
    </w:rPr>
  </w:style>
  <w:style w:type="character" w:styleId="5">
    <w:name w:val="Hyperlink"/>
    <w:basedOn w:val="4"/>
    <w:autoRedefine/>
    <w:qFormat/>
    <w:uiPriority w:val="0"/>
    <w:rPr>
      <w:color w:val="0000FF"/>
      <w:u w:val="single"/>
    </w:rPr>
  </w:style>
  <w:style w:type="character" w:customStyle="1" w:styleId="6">
    <w:name w:val="font51"/>
    <w:basedOn w:val="4"/>
    <w:autoRedefine/>
    <w:qFormat/>
    <w:uiPriority w:val="0"/>
    <w:rPr>
      <w:rFonts w:hint="default" w:ascii="Arial" w:hAnsi="Arial" w:cs="Arial"/>
      <w:color w:val="000000"/>
      <w:sz w:val="22"/>
      <w:szCs w:val="22"/>
      <w:u w:val="single"/>
    </w:rPr>
  </w:style>
  <w:style w:type="paragraph" w:styleId="7">
    <w:name w:val="List Paragraph"/>
    <w:basedOn w:val="1"/>
    <w:autoRedefine/>
    <w:qFormat/>
    <w:uiPriority w:val="1"/>
    <w:pPr>
      <w:spacing w:before="81"/>
      <w:ind w:left="6377" w:hanging="420"/>
    </w:pPr>
    <w:rPr>
      <w:rFonts w:ascii="宋体" w:hAnsi="宋体" w:eastAsia="宋体" w:cs="宋体"/>
      <w:lang w:val="en-US" w:eastAsia="en-US" w:bidi="en-US"/>
    </w:rPr>
  </w:style>
  <w:style w:type="paragraph" w:customStyle="1" w:styleId="8">
    <w:name w:val="Default"/>
    <w:link w:val="11"/>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9">
    <w:name w:val="10"/>
    <w:basedOn w:val="4"/>
    <w:autoRedefine/>
    <w:qFormat/>
    <w:uiPriority w:val="0"/>
    <w:rPr>
      <w:rFonts w:hint="default" w:ascii="Times New Roman" w:hAnsi="Times New Roman" w:cs="Times New Roman"/>
    </w:rPr>
  </w:style>
  <w:style w:type="character" w:customStyle="1" w:styleId="10">
    <w:name w:val="15"/>
    <w:basedOn w:val="4"/>
    <w:autoRedefine/>
    <w:qFormat/>
    <w:uiPriority w:val="0"/>
    <w:rPr>
      <w:rFonts w:hint="default" w:ascii="Arial" w:hAnsi="Arial" w:cs="Arial"/>
      <w:color w:val="000000"/>
      <w:sz w:val="22"/>
      <w:szCs w:val="22"/>
      <w:u w:val="single"/>
    </w:rPr>
  </w:style>
  <w:style w:type="character" w:customStyle="1" w:styleId="11">
    <w:name w:val="Default Char"/>
    <w:link w:val="8"/>
    <w:autoRedefine/>
    <w:qFormat/>
    <w:uiPriority w:val="0"/>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6</Pages>
  <Words>753</Words>
  <Characters>4501</Characters>
  <Lines>1</Lines>
  <Paragraphs>1</Paragraphs>
  <TotalTime>0</TotalTime>
  <ScaleCrop>false</ScaleCrop>
  <LinksUpToDate>false</LinksUpToDate>
  <CharactersWithSpaces>5105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2018-07-19T06:09:00Z</dcterms:created>
  <dc:creator>ASUS</dc:creator>
  <cp:lastModifiedBy>南瓜</cp:lastModifiedBy>
  <dcterms:modified xsi:type="dcterms:W3CDTF">2026-07-17T07:48:28Z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9A6643440C824C08808E4BEC950CC855_12</vt:lpwstr>
  </property>
  <property fmtid="{D5CDD505-2E9C-101B-9397-08002B2CF9AE}" pid="4" name="KSOTemplateDocerSaveRecord">
    <vt:lpwstr>eyJoZGlkIjoiNmZhYmZlNTI1Yzk4YTBlMjRhOGIzNmU5ZTkyZWZkZTUiLCJ1c2VySWQiOiI0NTE0NjI0OTEifQ==</vt:lpwstr>
  </property>
</Properties>
</file>